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8233" w14:textId="3F10E4A9" w:rsidR="002578D3" w:rsidRDefault="00103AE1">
      <w:pPr>
        <w:pStyle w:val="Standard"/>
        <w:jc w:val="both"/>
      </w:pPr>
      <w:r>
        <w:rPr>
          <w:rFonts w:ascii="Arial" w:hAnsi="Arial"/>
          <w:b/>
          <w:bCs/>
        </w:rPr>
        <w:t>Water</w:t>
      </w:r>
      <w:r w:rsidR="00A94D2A">
        <w:rPr>
          <w:rFonts w:ascii="Arial" w:hAnsi="Arial"/>
          <w:b/>
          <w:bCs/>
        </w:rPr>
        <w:t xml:space="preserve"> Adoption Panel</w:t>
      </w:r>
    </w:p>
    <w:p w14:paraId="2CCC8234" w14:textId="5677BB15" w:rsidR="002578D3" w:rsidRDefault="6E1B050E">
      <w:pPr>
        <w:pStyle w:val="Standard"/>
        <w:jc w:val="both"/>
      </w:pPr>
      <w:r w:rsidRPr="6E1B050E">
        <w:rPr>
          <w:rFonts w:ascii="Arial" w:hAnsi="Arial"/>
          <w:b/>
          <w:bCs/>
        </w:rPr>
        <w:t xml:space="preserve">Meeting on </w:t>
      </w:r>
      <w:r w:rsidR="000740EB">
        <w:rPr>
          <w:rFonts w:ascii="Arial" w:hAnsi="Arial"/>
          <w:b/>
          <w:bCs/>
        </w:rPr>
        <w:t>18</w:t>
      </w:r>
      <w:r w:rsidR="000740EB" w:rsidRPr="000740EB">
        <w:rPr>
          <w:rFonts w:ascii="Arial" w:hAnsi="Arial"/>
          <w:b/>
          <w:bCs/>
          <w:vertAlign w:val="superscript"/>
        </w:rPr>
        <w:t>th</w:t>
      </w:r>
      <w:r w:rsidR="000740EB">
        <w:rPr>
          <w:rFonts w:ascii="Arial" w:hAnsi="Arial"/>
          <w:b/>
          <w:bCs/>
        </w:rPr>
        <w:t xml:space="preserve"> November</w:t>
      </w:r>
      <w:r w:rsidR="00302D7A">
        <w:rPr>
          <w:rFonts w:ascii="Arial" w:hAnsi="Arial"/>
          <w:b/>
          <w:bCs/>
        </w:rPr>
        <w:t xml:space="preserve"> 2022 at 11am</w:t>
      </w:r>
      <w:r w:rsidRPr="6E1B050E">
        <w:rPr>
          <w:rFonts w:ascii="Arial" w:hAnsi="Arial"/>
          <w:b/>
          <w:bCs/>
        </w:rPr>
        <w:t xml:space="preserve"> </w:t>
      </w:r>
    </w:p>
    <w:p w14:paraId="2CCC8235" w14:textId="77777777" w:rsidR="002578D3" w:rsidRDefault="002578D3">
      <w:pPr>
        <w:pStyle w:val="Standard"/>
        <w:jc w:val="both"/>
        <w:rPr>
          <w:rFonts w:ascii="Arial" w:hAnsi="Arial"/>
          <w:b/>
          <w:bCs/>
        </w:rPr>
      </w:pPr>
    </w:p>
    <w:p w14:paraId="2CCC8236" w14:textId="77777777" w:rsidR="002578D3" w:rsidRDefault="00A94D2A">
      <w:pPr>
        <w:pStyle w:val="Standard"/>
        <w:jc w:val="both"/>
        <w:rPr>
          <w:rFonts w:ascii="Arial" w:hAnsi="Arial"/>
          <w:b/>
          <w:bCs/>
          <w:u w:val="single"/>
        </w:rPr>
      </w:pPr>
      <w:r>
        <w:rPr>
          <w:rFonts w:ascii="Arial" w:hAnsi="Arial"/>
          <w:b/>
          <w:bCs/>
          <w:u w:val="single"/>
        </w:rPr>
        <w:t>In attendance:</w:t>
      </w:r>
    </w:p>
    <w:p w14:paraId="2CCC8238" w14:textId="697FADAC" w:rsidR="002578D3" w:rsidRPr="00302D7A" w:rsidRDefault="00A94D2A">
      <w:pPr>
        <w:pStyle w:val="Standard"/>
        <w:jc w:val="both"/>
        <w:rPr>
          <w:rFonts w:ascii="Arial" w:hAnsi="Arial"/>
          <w:b/>
          <w:bCs/>
        </w:rPr>
      </w:pPr>
      <w:r>
        <w:rPr>
          <w:rFonts w:ascii="Arial" w:hAnsi="Arial"/>
          <w:b/>
          <w:bCs/>
        </w:rPr>
        <w:t>Victor Olowe – Chair</w:t>
      </w:r>
    </w:p>
    <w:p w14:paraId="73C53D81" w14:textId="28760214" w:rsidR="00FA5533" w:rsidRDefault="00FA5533">
      <w:pPr>
        <w:pStyle w:val="Standard"/>
        <w:jc w:val="both"/>
        <w:rPr>
          <w:rFonts w:ascii="Arial" w:hAnsi="Arial"/>
          <w:b/>
          <w:bCs/>
        </w:rPr>
      </w:pPr>
      <w:r>
        <w:rPr>
          <w:rFonts w:ascii="Arial" w:hAnsi="Arial"/>
          <w:b/>
          <w:bCs/>
        </w:rPr>
        <w:t>Ben Brownbill – Infrastructure Gateway</w:t>
      </w:r>
    </w:p>
    <w:p w14:paraId="02282270" w14:textId="4EB818C1" w:rsidR="00FA5533" w:rsidRDefault="000740EB">
      <w:pPr>
        <w:pStyle w:val="Standard"/>
        <w:jc w:val="both"/>
        <w:rPr>
          <w:rFonts w:ascii="Arial" w:hAnsi="Arial"/>
          <w:b/>
          <w:bCs/>
        </w:rPr>
      </w:pPr>
      <w:r>
        <w:rPr>
          <w:rFonts w:ascii="Arial" w:hAnsi="Arial"/>
          <w:b/>
          <w:bCs/>
        </w:rPr>
        <w:t>Chris Harrop</w:t>
      </w:r>
      <w:r w:rsidR="00766CA2">
        <w:rPr>
          <w:rFonts w:ascii="Arial" w:hAnsi="Arial"/>
          <w:b/>
          <w:bCs/>
        </w:rPr>
        <w:t xml:space="preserve"> – Wessex Water</w:t>
      </w:r>
      <w:r w:rsidR="00651E4F">
        <w:rPr>
          <w:rFonts w:ascii="Arial" w:hAnsi="Arial"/>
          <w:b/>
          <w:bCs/>
        </w:rPr>
        <w:t xml:space="preserve"> </w:t>
      </w:r>
      <w:r>
        <w:rPr>
          <w:rFonts w:ascii="Arial" w:hAnsi="Arial"/>
          <w:b/>
          <w:bCs/>
        </w:rPr>
        <w:t>(alternate for Nigel Martin)</w:t>
      </w:r>
    </w:p>
    <w:p w14:paraId="195A7489" w14:textId="75DF1780" w:rsidR="004A4922" w:rsidRDefault="004A4922">
      <w:pPr>
        <w:pStyle w:val="Standard"/>
        <w:jc w:val="both"/>
        <w:rPr>
          <w:rFonts w:ascii="Arial" w:hAnsi="Arial"/>
          <w:b/>
          <w:bCs/>
        </w:rPr>
      </w:pPr>
      <w:r>
        <w:rPr>
          <w:rFonts w:ascii="Arial" w:hAnsi="Arial"/>
          <w:b/>
          <w:bCs/>
        </w:rPr>
        <w:t>Damian Hill</w:t>
      </w:r>
      <w:r w:rsidR="00B12B35">
        <w:rPr>
          <w:rFonts w:ascii="Arial" w:hAnsi="Arial"/>
          <w:b/>
          <w:bCs/>
        </w:rPr>
        <w:t xml:space="preserve"> - Persimmon</w:t>
      </w:r>
    </w:p>
    <w:p w14:paraId="76A55912" w14:textId="2E2AD68D" w:rsidR="00A86342" w:rsidRDefault="00A86342">
      <w:pPr>
        <w:pStyle w:val="Standard"/>
        <w:jc w:val="both"/>
        <w:rPr>
          <w:rFonts w:ascii="Arial" w:hAnsi="Arial"/>
          <w:b/>
          <w:bCs/>
        </w:rPr>
      </w:pPr>
      <w:r>
        <w:rPr>
          <w:rFonts w:ascii="Arial" w:hAnsi="Arial"/>
          <w:b/>
          <w:bCs/>
        </w:rPr>
        <w:t>J</w:t>
      </w:r>
      <w:r w:rsidR="007612C0">
        <w:rPr>
          <w:rFonts w:ascii="Arial" w:hAnsi="Arial"/>
          <w:b/>
          <w:bCs/>
        </w:rPr>
        <w:t>ames Ball</w:t>
      </w:r>
      <w:r>
        <w:rPr>
          <w:rFonts w:ascii="Arial" w:hAnsi="Arial"/>
          <w:b/>
          <w:bCs/>
        </w:rPr>
        <w:t xml:space="preserve"> – Anglian Water</w:t>
      </w:r>
      <w:r w:rsidR="008B006A">
        <w:rPr>
          <w:rFonts w:ascii="Arial" w:hAnsi="Arial"/>
          <w:b/>
          <w:bCs/>
        </w:rPr>
        <w:t xml:space="preserve"> </w:t>
      </w:r>
    </w:p>
    <w:p w14:paraId="0EA0D5D9" w14:textId="192E16AE" w:rsidR="009B14E7" w:rsidRDefault="009B14E7">
      <w:pPr>
        <w:pStyle w:val="Standard"/>
        <w:jc w:val="both"/>
        <w:rPr>
          <w:rFonts w:ascii="Arial" w:hAnsi="Arial"/>
          <w:b/>
          <w:bCs/>
        </w:rPr>
      </w:pPr>
      <w:r>
        <w:rPr>
          <w:rFonts w:ascii="Arial" w:hAnsi="Arial"/>
          <w:b/>
          <w:bCs/>
        </w:rPr>
        <w:t>Dan Borst – Severn Trent Water</w:t>
      </w:r>
    </w:p>
    <w:p w14:paraId="7D8CFC82" w14:textId="71168234" w:rsidR="0010656B" w:rsidRDefault="0010656B">
      <w:pPr>
        <w:pStyle w:val="Standard"/>
        <w:rPr>
          <w:rFonts w:ascii="Arial" w:hAnsi="Arial"/>
          <w:b/>
          <w:bCs/>
        </w:rPr>
      </w:pPr>
      <w:r>
        <w:rPr>
          <w:rFonts w:ascii="Arial" w:hAnsi="Arial"/>
          <w:b/>
          <w:bCs/>
        </w:rPr>
        <w:t>Graham Morley – United Utilities</w:t>
      </w:r>
    </w:p>
    <w:p w14:paraId="2C19C5B5" w14:textId="4D59C538" w:rsidR="00E32254" w:rsidRDefault="00E32254">
      <w:pPr>
        <w:pStyle w:val="Standard"/>
        <w:rPr>
          <w:rFonts w:ascii="Arial" w:hAnsi="Arial"/>
          <w:b/>
          <w:bCs/>
        </w:rPr>
      </w:pPr>
      <w:r>
        <w:rPr>
          <w:rFonts w:ascii="Arial" w:hAnsi="Arial"/>
          <w:b/>
          <w:bCs/>
        </w:rPr>
        <w:t xml:space="preserve">Robert Perrins – Shropshire Homes </w:t>
      </w:r>
    </w:p>
    <w:p w14:paraId="55F9BCD2" w14:textId="402229FA" w:rsidR="0016273D" w:rsidRDefault="000740EB">
      <w:pPr>
        <w:pStyle w:val="Standard"/>
        <w:rPr>
          <w:rFonts w:ascii="Arial" w:hAnsi="Arial"/>
          <w:b/>
          <w:bCs/>
        </w:rPr>
      </w:pPr>
      <w:r>
        <w:rPr>
          <w:rFonts w:ascii="Arial" w:hAnsi="Arial"/>
          <w:b/>
          <w:bCs/>
        </w:rPr>
        <w:t>Mike Lonergan</w:t>
      </w:r>
      <w:r w:rsidR="0016273D">
        <w:rPr>
          <w:rFonts w:ascii="Arial" w:hAnsi="Arial"/>
          <w:b/>
          <w:bCs/>
        </w:rPr>
        <w:t xml:space="preserve"> – PJ Daly</w:t>
      </w:r>
      <w:r>
        <w:rPr>
          <w:rFonts w:ascii="Arial" w:hAnsi="Arial"/>
          <w:b/>
          <w:bCs/>
        </w:rPr>
        <w:t xml:space="preserve"> (alternate for Patrick Daly)</w:t>
      </w:r>
    </w:p>
    <w:p w14:paraId="0CCA6864" w14:textId="445930EE" w:rsidR="00D16A6E" w:rsidRDefault="00D16A6E">
      <w:pPr>
        <w:pStyle w:val="Standard"/>
        <w:rPr>
          <w:rFonts w:ascii="Arial" w:hAnsi="Arial"/>
          <w:b/>
          <w:bCs/>
        </w:rPr>
      </w:pPr>
    </w:p>
    <w:tbl>
      <w:tblPr>
        <w:tblW w:w="9390" w:type="dxa"/>
        <w:tblLayout w:type="fixed"/>
        <w:tblCellMar>
          <w:left w:w="10" w:type="dxa"/>
          <w:right w:w="10" w:type="dxa"/>
        </w:tblCellMar>
        <w:tblLook w:val="0000" w:firstRow="0" w:lastRow="0" w:firstColumn="0" w:lastColumn="0" w:noHBand="0" w:noVBand="0"/>
      </w:tblPr>
      <w:tblGrid>
        <w:gridCol w:w="1413"/>
        <w:gridCol w:w="6357"/>
        <w:gridCol w:w="1620"/>
      </w:tblGrid>
      <w:tr w:rsidR="002578D3" w14:paraId="2CCC824A" w14:textId="77777777" w:rsidTr="63B5C043">
        <w:tc>
          <w:tcPr>
            <w:tcW w:w="1413" w:type="dxa"/>
            <w:tcBorders>
              <w:top w:val="single" w:sz="4" w:space="0" w:color="000000" w:themeColor="text1"/>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7" w14:textId="77777777" w:rsidR="002578D3" w:rsidRDefault="002578D3">
            <w:pPr>
              <w:pStyle w:val="TableContents"/>
              <w:rPr>
                <w:rFonts w:ascii="Arial" w:hAnsi="Arial"/>
                <w:b/>
                <w:bCs/>
                <w:color w:val="000000"/>
                <w:sz w:val="22"/>
                <w:szCs w:val="22"/>
              </w:rPr>
            </w:pPr>
          </w:p>
        </w:tc>
        <w:tc>
          <w:tcPr>
            <w:tcW w:w="6357" w:type="dxa"/>
            <w:tcBorders>
              <w:top w:val="single" w:sz="4" w:space="0" w:color="000000" w:themeColor="text1"/>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8" w14:textId="77777777" w:rsidR="002578D3" w:rsidRDefault="00A94D2A">
            <w:pPr>
              <w:pStyle w:val="TableContents"/>
              <w:rPr>
                <w:rFonts w:ascii="Arial" w:hAnsi="Arial"/>
                <w:b/>
                <w:bCs/>
                <w:color w:val="000000"/>
                <w:sz w:val="22"/>
                <w:szCs w:val="22"/>
              </w:rPr>
            </w:pPr>
            <w:r>
              <w:rPr>
                <w:rFonts w:ascii="Arial" w:hAnsi="Arial"/>
                <w:b/>
                <w:bCs/>
                <w:color w:val="000000"/>
                <w:sz w:val="22"/>
                <w:szCs w:val="22"/>
              </w:rPr>
              <w:t>Item</w:t>
            </w:r>
          </w:p>
        </w:tc>
        <w:tc>
          <w:tcPr>
            <w:tcW w:w="1620" w:type="dxa"/>
            <w:tcBorders>
              <w:top w:val="single" w:sz="4" w:space="0" w:color="000000" w:themeColor="text1"/>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9" w14:textId="77777777" w:rsidR="002578D3" w:rsidRDefault="00A94D2A">
            <w:pPr>
              <w:pStyle w:val="TableContents"/>
              <w:rPr>
                <w:rFonts w:ascii="Arial" w:hAnsi="Arial"/>
                <w:b/>
                <w:bCs/>
                <w:color w:val="000000"/>
                <w:sz w:val="22"/>
                <w:szCs w:val="22"/>
              </w:rPr>
            </w:pPr>
            <w:r>
              <w:rPr>
                <w:rFonts w:ascii="Arial" w:hAnsi="Arial"/>
                <w:b/>
                <w:bCs/>
                <w:color w:val="000000"/>
                <w:sz w:val="22"/>
                <w:szCs w:val="22"/>
              </w:rPr>
              <w:t>Action</w:t>
            </w:r>
          </w:p>
        </w:tc>
      </w:tr>
      <w:tr w:rsidR="002578D3" w14:paraId="2CCC8250" w14:textId="77777777" w:rsidTr="63B5C043">
        <w:tc>
          <w:tcPr>
            <w:tcW w:w="1413"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C" w14:textId="5941E4AD" w:rsidR="002578D3" w:rsidRPr="00303697" w:rsidRDefault="001A6D74">
            <w:pPr>
              <w:pStyle w:val="TableContents"/>
              <w:rPr>
                <w:rFonts w:ascii="Arial" w:hAnsi="Arial"/>
                <w:color w:val="000000"/>
              </w:rPr>
            </w:pPr>
            <w:r w:rsidRPr="00303697">
              <w:rPr>
                <w:rFonts w:ascii="Arial" w:hAnsi="Arial"/>
                <w:color w:val="000000"/>
              </w:rPr>
              <w:t>1</w:t>
            </w:r>
          </w:p>
        </w:tc>
        <w:tc>
          <w:tcPr>
            <w:tcW w:w="6357"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4350D18F" w14:textId="77777777" w:rsidR="002578D3" w:rsidRPr="00303697" w:rsidRDefault="001A6D74">
            <w:pPr>
              <w:pStyle w:val="TableContents"/>
              <w:jc w:val="both"/>
              <w:rPr>
                <w:rFonts w:ascii="Arial" w:hAnsi="Arial"/>
                <w:b/>
                <w:bCs/>
              </w:rPr>
            </w:pPr>
            <w:r w:rsidRPr="00303697">
              <w:rPr>
                <w:rFonts w:ascii="Arial" w:hAnsi="Arial"/>
                <w:b/>
                <w:bCs/>
              </w:rPr>
              <w:t xml:space="preserve">Introduction and Apologies </w:t>
            </w:r>
          </w:p>
          <w:p w14:paraId="5D15A0D1" w14:textId="77777777" w:rsidR="00C84CBE" w:rsidRDefault="00C84CBE" w:rsidP="6E1B050E">
            <w:pPr>
              <w:pStyle w:val="TableContents"/>
              <w:jc w:val="both"/>
              <w:rPr>
                <w:rFonts w:ascii="Arial" w:hAnsi="Arial"/>
              </w:rPr>
            </w:pPr>
          </w:p>
          <w:p w14:paraId="1E91F756" w14:textId="77777777" w:rsidR="00841345" w:rsidRDefault="345F11DF" w:rsidP="6E1B050E">
            <w:pPr>
              <w:pStyle w:val="TableContents"/>
              <w:jc w:val="both"/>
              <w:rPr>
                <w:rFonts w:ascii="Arial" w:hAnsi="Arial"/>
              </w:rPr>
            </w:pPr>
            <w:r w:rsidRPr="345F11DF">
              <w:rPr>
                <w:rFonts w:ascii="Arial" w:hAnsi="Arial"/>
              </w:rPr>
              <w:t>The Chair welcomed members to the meeting</w:t>
            </w:r>
            <w:r w:rsidR="00014145">
              <w:rPr>
                <w:rFonts w:ascii="Arial" w:hAnsi="Arial"/>
              </w:rPr>
              <w:t xml:space="preserve"> and i</w:t>
            </w:r>
            <w:r w:rsidRPr="345F11DF">
              <w:rPr>
                <w:rFonts w:ascii="Arial" w:hAnsi="Arial"/>
              </w:rPr>
              <w:t xml:space="preserve">t was noted that the meeting was quorate, with the required number of representatives from both water companies, developers and self-lay providers (SLPs) in attendance.  </w:t>
            </w:r>
          </w:p>
          <w:p w14:paraId="4D09CD60" w14:textId="77777777" w:rsidR="00841345" w:rsidRDefault="00841345" w:rsidP="6E1B050E">
            <w:pPr>
              <w:pStyle w:val="TableContents"/>
              <w:jc w:val="both"/>
              <w:rPr>
                <w:rFonts w:ascii="Arial" w:hAnsi="Arial"/>
              </w:rPr>
            </w:pPr>
          </w:p>
          <w:p w14:paraId="733E37C3" w14:textId="6AD3D2AE" w:rsidR="00597B81" w:rsidRPr="00303697" w:rsidRDefault="345F11DF" w:rsidP="00597B81">
            <w:pPr>
              <w:pStyle w:val="TableContents"/>
              <w:jc w:val="both"/>
              <w:rPr>
                <w:rFonts w:ascii="Arial" w:hAnsi="Arial"/>
              </w:rPr>
            </w:pPr>
            <w:r w:rsidRPr="345F11DF">
              <w:rPr>
                <w:rFonts w:ascii="Arial" w:hAnsi="Arial"/>
              </w:rPr>
              <w:t xml:space="preserve">Apologies had been received from </w:t>
            </w:r>
            <w:r w:rsidR="00253B65">
              <w:rPr>
                <w:rFonts w:ascii="Arial" w:hAnsi="Arial"/>
              </w:rPr>
              <w:t xml:space="preserve">David Topping and </w:t>
            </w:r>
            <w:r w:rsidR="00BF6365">
              <w:rPr>
                <w:rFonts w:ascii="Arial" w:hAnsi="Arial"/>
              </w:rPr>
              <w:t>Mark Whitehouse (observer)</w:t>
            </w:r>
            <w:r w:rsidR="00D17F5C">
              <w:rPr>
                <w:rFonts w:ascii="Arial" w:hAnsi="Arial"/>
              </w:rPr>
              <w:t xml:space="preserve">; </w:t>
            </w:r>
            <w:r w:rsidR="00631016" w:rsidRPr="00631016">
              <w:rPr>
                <w:rFonts w:ascii="Arial" w:hAnsi="Arial"/>
              </w:rPr>
              <w:t>Sathi Amuthaseelan</w:t>
            </w:r>
            <w:r w:rsidR="00631016">
              <w:rPr>
                <w:rFonts w:ascii="Arial" w:hAnsi="Arial"/>
                <w:b/>
                <w:bCs/>
              </w:rPr>
              <w:t xml:space="preserve"> </w:t>
            </w:r>
            <w:r w:rsidR="00631016">
              <w:rPr>
                <w:rFonts w:ascii="Arial" w:hAnsi="Arial"/>
              </w:rPr>
              <w:t xml:space="preserve">was unable to attend the meeting. </w:t>
            </w:r>
            <w:r w:rsidR="00253B65">
              <w:rPr>
                <w:rFonts w:ascii="Arial" w:hAnsi="Arial"/>
              </w:rPr>
              <w:t>Chris Harrop and Mike Lonergan attended the meeting as alternates for Nigel Martin and Patrick Daly respectively</w:t>
            </w:r>
            <w:r w:rsidR="00217446">
              <w:rPr>
                <w:rFonts w:ascii="Arial" w:hAnsi="Arial"/>
              </w:rPr>
              <w:t>.</w:t>
            </w:r>
          </w:p>
          <w:p w14:paraId="2CCC824E" w14:textId="6FF04C3F" w:rsidR="00D02E4C" w:rsidRPr="00303697" w:rsidRDefault="00D02E4C" w:rsidP="6E1B050E">
            <w:pPr>
              <w:pStyle w:val="TableContents"/>
              <w:jc w:val="both"/>
              <w:rPr>
                <w:rFonts w:ascii="Arial" w:hAnsi="Arial"/>
              </w:rPr>
            </w:pPr>
          </w:p>
        </w:tc>
        <w:tc>
          <w:tcPr>
            <w:tcW w:w="1620"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F" w14:textId="77777777" w:rsidR="002578D3" w:rsidRPr="00303697" w:rsidRDefault="002578D3">
            <w:pPr>
              <w:pStyle w:val="TableContents"/>
              <w:rPr>
                <w:rFonts w:ascii="Arial" w:hAnsi="Arial"/>
                <w:color w:val="000000"/>
              </w:rPr>
            </w:pPr>
          </w:p>
        </w:tc>
      </w:tr>
      <w:tr w:rsidR="002578D3" w14:paraId="2CCC8278" w14:textId="77777777" w:rsidTr="63B5C043">
        <w:tc>
          <w:tcPr>
            <w:tcW w:w="1413"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52" w14:textId="4EDDCA65" w:rsidR="002578D3" w:rsidRPr="00303697" w:rsidRDefault="003052FB">
            <w:pPr>
              <w:pStyle w:val="TableContents"/>
              <w:rPr>
                <w:rFonts w:ascii="Arial" w:hAnsi="Arial"/>
                <w:color w:val="000000"/>
              </w:rPr>
            </w:pPr>
            <w:r w:rsidRPr="00303697">
              <w:rPr>
                <w:rFonts w:ascii="Arial" w:hAnsi="Arial"/>
                <w:color w:val="000000"/>
              </w:rPr>
              <w:t>2</w:t>
            </w:r>
          </w:p>
        </w:tc>
        <w:tc>
          <w:tcPr>
            <w:tcW w:w="6357"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1F3E74CF" w14:textId="77777777" w:rsidR="002578D3" w:rsidRPr="00303697" w:rsidRDefault="00B20157">
            <w:pPr>
              <w:pStyle w:val="TableContents"/>
              <w:jc w:val="both"/>
              <w:rPr>
                <w:rFonts w:ascii="Arial" w:hAnsi="Arial"/>
                <w:b/>
                <w:bCs/>
                <w:color w:val="000000"/>
              </w:rPr>
            </w:pPr>
            <w:r w:rsidRPr="00303697">
              <w:rPr>
                <w:rFonts w:ascii="Arial" w:hAnsi="Arial"/>
                <w:b/>
                <w:bCs/>
                <w:color w:val="000000"/>
              </w:rPr>
              <w:t>Declaration of Interests</w:t>
            </w:r>
          </w:p>
          <w:p w14:paraId="78B4CD36" w14:textId="77777777" w:rsidR="00C84CBE" w:rsidRDefault="00C84CBE">
            <w:pPr>
              <w:pStyle w:val="TableContents"/>
              <w:jc w:val="both"/>
              <w:rPr>
                <w:rFonts w:ascii="Arial" w:hAnsi="Arial"/>
                <w:color w:val="000000"/>
              </w:rPr>
            </w:pPr>
          </w:p>
          <w:p w14:paraId="2CCC825B" w14:textId="026BAE22" w:rsidR="00B20157" w:rsidRPr="00303697" w:rsidRDefault="009F3514">
            <w:pPr>
              <w:pStyle w:val="TableContents"/>
              <w:jc w:val="both"/>
              <w:rPr>
                <w:rFonts w:ascii="Arial" w:hAnsi="Arial"/>
                <w:color w:val="000000"/>
              </w:rPr>
            </w:pPr>
            <w:r>
              <w:rPr>
                <w:rFonts w:ascii="Arial" w:hAnsi="Arial"/>
                <w:color w:val="000000" w:themeColor="text1"/>
              </w:rPr>
              <w:t>There were no interests to declare from any member.</w:t>
            </w:r>
          </w:p>
        </w:tc>
        <w:tc>
          <w:tcPr>
            <w:tcW w:w="1620"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77" w14:textId="77777777" w:rsidR="002578D3" w:rsidRPr="00303697" w:rsidRDefault="002578D3">
            <w:pPr>
              <w:pStyle w:val="TableContents"/>
              <w:rPr>
                <w:rFonts w:ascii="Arial" w:hAnsi="Arial"/>
                <w:color w:val="000000"/>
              </w:rPr>
            </w:pPr>
          </w:p>
        </w:tc>
      </w:tr>
      <w:tr w:rsidR="002578D3" w14:paraId="2CCC8287" w14:textId="77777777" w:rsidTr="63B5C043">
        <w:tc>
          <w:tcPr>
            <w:tcW w:w="1413"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2CCC827A" w14:textId="71661D83" w:rsidR="002578D3" w:rsidRPr="00303697" w:rsidRDefault="00B20157">
            <w:pPr>
              <w:pStyle w:val="TableContents"/>
              <w:rPr>
                <w:rFonts w:ascii="Arial" w:hAnsi="Arial"/>
                <w:color w:val="000000"/>
              </w:rPr>
            </w:pPr>
            <w:r w:rsidRPr="00303697">
              <w:rPr>
                <w:rFonts w:ascii="Arial" w:hAnsi="Arial"/>
                <w:color w:val="000000"/>
              </w:rPr>
              <w:t>3</w:t>
            </w:r>
          </w:p>
        </w:tc>
        <w:tc>
          <w:tcPr>
            <w:tcW w:w="6357"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5FBBA513" w14:textId="416A0C68" w:rsidR="00C84CBE" w:rsidRDefault="0095418C">
            <w:pPr>
              <w:pStyle w:val="TableContents"/>
              <w:jc w:val="both"/>
              <w:rPr>
                <w:rFonts w:ascii="Arial" w:hAnsi="Arial"/>
              </w:rPr>
            </w:pPr>
            <w:r>
              <w:rPr>
                <w:rFonts w:ascii="Arial" w:hAnsi="Arial"/>
                <w:b/>
                <w:bCs/>
              </w:rPr>
              <w:t xml:space="preserve">Waiver of </w:t>
            </w:r>
            <w:r w:rsidR="00B92711">
              <w:rPr>
                <w:rFonts w:ascii="Arial" w:hAnsi="Arial"/>
                <w:b/>
                <w:bCs/>
              </w:rPr>
              <w:t>notice and publication period</w:t>
            </w:r>
            <w:r w:rsidR="00FB5B27">
              <w:rPr>
                <w:rFonts w:ascii="Arial" w:hAnsi="Arial"/>
                <w:b/>
                <w:bCs/>
              </w:rPr>
              <w:t xml:space="preserve"> (standing item)</w:t>
            </w:r>
          </w:p>
          <w:p w14:paraId="161D5747" w14:textId="77777777" w:rsidR="00C84CBE" w:rsidRDefault="00C84CBE">
            <w:pPr>
              <w:pStyle w:val="TableContents"/>
              <w:jc w:val="both"/>
              <w:rPr>
                <w:rFonts w:ascii="Arial" w:hAnsi="Arial"/>
              </w:rPr>
            </w:pPr>
          </w:p>
          <w:p w14:paraId="2CCC827E" w14:textId="7B98B2DA" w:rsidR="00D35410" w:rsidRPr="00303697" w:rsidRDefault="000D76B3">
            <w:pPr>
              <w:pStyle w:val="TableContents"/>
              <w:jc w:val="both"/>
              <w:rPr>
                <w:rFonts w:ascii="Arial" w:hAnsi="Arial"/>
              </w:rPr>
            </w:pPr>
            <w:r>
              <w:rPr>
                <w:rFonts w:ascii="Arial" w:hAnsi="Arial"/>
              </w:rPr>
              <w:t>No new items had been received for publication prior to the meeting but as a matter of good order, the Panel agreed to waive the notice and publication period.</w:t>
            </w:r>
          </w:p>
        </w:tc>
        <w:tc>
          <w:tcPr>
            <w:tcW w:w="1620"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1CCE3D97" w14:textId="67329249" w:rsidR="002578D3" w:rsidRDefault="002578D3">
            <w:pPr>
              <w:pStyle w:val="TableContents"/>
              <w:rPr>
                <w:rFonts w:ascii="Arial" w:hAnsi="Arial"/>
              </w:rPr>
            </w:pPr>
          </w:p>
          <w:p w14:paraId="1A22FAE0" w14:textId="4AFF1C9F" w:rsidR="00F72648" w:rsidRDefault="00F72648">
            <w:pPr>
              <w:pStyle w:val="TableContents"/>
              <w:rPr>
                <w:rFonts w:ascii="Arial" w:hAnsi="Arial"/>
              </w:rPr>
            </w:pPr>
          </w:p>
          <w:p w14:paraId="37F9D0E9" w14:textId="05D0499F" w:rsidR="00F72648" w:rsidRDefault="00F72648">
            <w:pPr>
              <w:pStyle w:val="TableContents"/>
              <w:rPr>
                <w:rFonts w:ascii="Arial" w:hAnsi="Arial"/>
              </w:rPr>
            </w:pPr>
          </w:p>
          <w:p w14:paraId="326BD2AF" w14:textId="2DD6A285" w:rsidR="00F72648" w:rsidRPr="00303697" w:rsidRDefault="00F72648">
            <w:pPr>
              <w:pStyle w:val="TableContents"/>
              <w:rPr>
                <w:rFonts w:ascii="Arial" w:hAnsi="Arial"/>
              </w:rPr>
            </w:pPr>
          </w:p>
          <w:p w14:paraId="2CCC8286" w14:textId="66FC2D83" w:rsidR="00AA0CF4" w:rsidRPr="00303697" w:rsidRDefault="00AA0CF4">
            <w:pPr>
              <w:pStyle w:val="TableContents"/>
              <w:rPr>
                <w:rFonts w:ascii="Arial" w:hAnsi="Arial"/>
              </w:rPr>
            </w:pPr>
          </w:p>
        </w:tc>
      </w:tr>
      <w:tr w:rsidR="00DB2E1A" w14:paraId="14E669CB" w14:textId="77777777" w:rsidTr="63B5C043">
        <w:tc>
          <w:tcPr>
            <w:tcW w:w="1413"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114B2E09" w14:textId="667547F7" w:rsidR="00DB2E1A" w:rsidRPr="00303697" w:rsidRDefault="00DB2E1A">
            <w:pPr>
              <w:pStyle w:val="TableContents"/>
              <w:rPr>
                <w:rFonts w:ascii="Arial" w:hAnsi="Arial"/>
                <w:color w:val="000000"/>
              </w:rPr>
            </w:pPr>
            <w:r>
              <w:rPr>
                <w:rFonts w:ascii="Arial" w:hAnsi="Arial"/>
                <w:color w:val="000000"/>
              </w:rPr>
              <w:t>4</w:t>
            </w:r>
          </w:p>
        </w:tc>
        <w:tc>
          <w:tcPr>
            <w:tcW w:w="6357"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1A6A9F5F" w14:textId="6C536C57" w:rsidR="00DB2E1A" w:rsidRDefault="00DB2E1A">
            <w:pPr>
              <w:pStyle w:val="TableContents"/>
              <w:jc w:val="both"/>
              <w:rPr>
                <w:rFonts w:ascii="Arial" w:hAnsi="Arial"/>
                <w:b/>
                <w:bCs/>
              </w:rPr>
            </w:pPr>
            <w:r>
              <w:rPr>
                <w:rFonts w:ascii="Arial" w:hAnsi="Arial"/>
                <w:b/>
                <w:bCs/>
              </w:rPr>
              <w:t xml:space="preserve">Approval of Minutes of Panel Meeting on </w:t>
            </w:r>
            <w:r w:rsidR="000D76B3">
              <w:rPr>
                <w:rFonts w:ascii="Arial" w:hAnsi="Arial"/>
                <w:b/>
                <w:bCs/>
              </w:rPr>
              <w:t>4</w:t>
            </w:r>
            <w:r w:rsidR="000D76B3" w:rsidRPr="000D76B3">
              <w:rPr>
                <w:rFonts w:ascii="Arial" w:hAnsi="Arial"/>
                <w:b/>
                <w:bCs/>
                <w:vertAlign w:val="superscript"/>
              </w:rPr>
              <w:t>th</w:t>
            </w:r>
            <w:r w:rsidR="000D76B3">
              <w:rPr>
                <w:rFonts w:ascii="Arial" w:hAnsi="Arial"/>
                <w:b/>
                <w:bCs/>
              </w:rPr>
              <w:t xml:space="preserve"> October</w:t>
            </w:r>
            <w:r w:rsidR="00026402">
              <w:rPr>
                <w:rFonts w:ascii="Arial" w:hAnsi="Arial"/>
                <w:b/>
                <w:bCs/>
              </w:rPr>
              <w:t xml:space="preserve"> 2022</w:t>
            </w:r>
            <w:r w:rsidR="00DA1EFE">
              <w:rPr>
                <w:rFonts w:ascii="Arial" w:hAnsi="Arial"/>
                <w:b/>
                <w:bCs/>
              </w:rPr>
              <w:t>.</w:t>
            </w:r>
          </w:p>
          <w:p w14:paraId="19E19AE3" w14:textId="77777777" w:rsidR="004659AE" w:rsidRDefault="004659AE">
            <w:pPr>
              <w:pStyle w:val="TableContents"/>
              <w:jc w:val="both"/>
              <w:rPr>
                <w:rFonts w:ascii="Arial" w:hAnsi="Arial"/>
                <w:b/>
                <w:bCs/>
              </w:rPr>
            </w:pPr>
          </w:p>
          <w:p w14:paraId="5A539A50" w14:textId="77777777" w:rsidR="00182E30" w:rsidRDefault="00B53563">
            <w:pPr>
              <w:pStyle w:val="TableContents"/>
              <w:jc w:val="both"/>
              <w:rPr>
                <w:rFonts w:ascii="Arial" w:hAnsi="Arial"/>
              </w:rPr>
            </w:pPr>
            <w:r>
              <w:rPr>
                <w:rFonts w:ascii="Arial" w:hAnsi="Arial"/>
              </w:rPr>
              <w:t xml:space="preserve">The Panel approved the minutes of the Panel Meeting held on </w:t>
            </w:r>
            <w:r w:rsidR="00246DC6">
              <w:rPr>
                <w:rFonts w:ascii="Arial" w:hAnsi="Arial"/>
              </w:rPr>
              <w:t>4</w:t>
            </w:r>
            <w:r w:rsidR="00246DC6" w:rsidRPr="00246DC6">
              <w:rPr>
                <w:rFonts w:ascii="Arial" w:hAnsi="Arial"/>
                <w:vertAlign w:val="superscript"/>
              </w:rPr>
              <w:t>th</w:t>
            </w:r>
            <w:r w:rsidR="00246DC6">
              <w:rPr>
                <w:rFonts w:ascii="Arial" w:hAnsi="Arial"/>
              </w:rPr>
              <w:t xml:space="preserve"> October</w:t>
            </w:r>
            <w:r w:rsidR="00DA1EFE">
              <w:rPr>
                <w:rFonts w:ascii="Arial" w:hAnsi="Arial"/>
              </w:rPr>
              <w:t xml:space="preserve"> 2022 </w:t>
            </w:r>
            <w:r>
              <w:rPr>
                <w:rFonts w:ascii="Arial" w:hAnsi="Arial"/>
              </w:rPr>
              <w:t>for publication.</w:t>
            </w:r>
            <w:r w:rsidR="00182E30">
              <w:rPr>
                <w:rFonts w:ascii="Arial" w:hAnsi="Arial"/>
              </w:rPr>
              <w:t xml:space="preserve"> </w:t>
            </w:r>
            <w:r w:rsidR="00FE7727">
              <w:rPr>
                <w:rFonts w:ascii="Arial" w:hAnsi="Arial"/>
              </w:rPr>
              <w:t xml:space="preserve">It was noted that </w:t>
            </w:r>
            <w:r w:rsidR="00182E30">
              <w:rPr>
                <w:rFonts w:ascii="Arial" w:hAnsi="Arial"/>
              </w:rPr>
              <w:t>all actions were complete</w:t>
            </w:r>
            <w:r w:rsidR="006F1083">
              <w:rPr>
                <w:rFonts w:ascii="Arial" w:hAnsi="Arial"/>
              </w:rPr>
              <w:t>.</w:t>
            </w:r>
          </w:p>
          <w:p w14:paraId="2E1B2E69" w14:textId="77777777" w:rsidR="00246DC6" w:rsidRDefault="00246DC6">
            <w:pPr>
              <w:pStyle w:val="TableContents"/>
              <w:jc w:val="both"/>
              <w:rPr>
                <w:rFonts w:ascii="Arial" w:hAnsi="Arial"/>
              </w:rPr>
            </w:pPr>
          </w:p>
          <w:p w14:paraId="0C31DCD3" w14:textId="0CAB1AB1" w:rsidR="00246DC6" w:rsidRPr="00DB2E1A" w:rsidRDefault="00246DC6">
            <w:pPr>
              <w:pStyle w:val="TableContents"/>
              <w:jc w:val="both"/>
              <w:rPr>
                <w:rFonts w:ascii="Arial" w:hAnsi="Arial"/>
              </w:rPr>
            </w:pPr>
            <w:r>
              <w:rPr>
                <w:rFonts w:ascii="Arial" w:hAnsi="Arial"/>
              </w:rPr>
              <w:t>The only matter arising related to the Panel’s change proposal regarding amendments to its Terms of Reference (ToR), currently under consideration by Ofwat.  Ofwat had received comments from the Drinking Water Inspectorate (DWI) as part of its consultation on the proposal</w:t>
            </w:r>
            <w:r w:rsidR="00841319">
              <w:rPr>
                <w:rFonts w:ascii="Arial" w:hAnsi="Arial"/>
              </w:rPr>
              <w:t xml:space="preserve"> on paras 3.8 and 3.9 of Appendix One.  The Panel noted that Ofwat’s consent to changes to the Appendix was not required </w:t>
            </w:r>
            <w:r w:rsidR="00DD1D37">
              <w:rPr>
                <w:rFonts w:ascii="Arial" w:hAnsi="Arial"/>
              </w:rPr>
              <w:t>and</w:t>
            </w:r>
            <w:r w:rsidR="003E299C">
              <w:rPr>
                <w:rFonts w:ascii="Arial" w:hAnsi="Arial"/>
              </w:rPr>
              <w:t xml:space="preserve"> </w:t>
            </w:r>
            <w:r w:rsidR="003E299C">
              <w:rPr>
                <w:rFonts w:ascii="Arial" w:hAnsi="Arial"/>
              </w:rPr>
              <w:lastRenderedPageBreak/>
              <w:t>agreed that the Secretary would revert to Ofwat to clarify the queries raised by the DWI</w:t>
            </w:r>
            <w:r w:rsidR="00720CBB">
              <w:rPr>
                <w:rFonts w:ascii="Arial" w:hAnsi="Arial"/>
              </w:rPr>
              <w:t xml:space="preserve"> reiterating its rationale for the proposed amendments</w:t>
            </w:r>
            <w:r w:rsidR="003E299C">
              <w:rPr>
                <w:rFonts w:ascii="Arial" w:hAnsi="Arial"/>
              </w:rPr>
              <w:t>.</w:t>
            </w:r>
            <w:r w:rsidR="00DD1D37">
              <w:rPr>
                <w:rFonts w:ascii="Arial" w:hAnsi="Arial"/>
              </w:rPr>
              <w:t xml:space="preserve"> </w:t>
            </w:r>
          </w:p>
        </w:tc>
        <w:tc>
          <w:tcPr>
            <w:tcW w:w="1620"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412B40DE" w14:textId="77777777" w:rsidR="00DB2E1A" w:rsidRDefault="00DB2E1A">
            <w:pPr>
              <w:pStyle w:val="TableContents"/>
              <w:rPr>
                <w:rFonts w:ascii="Arial" w:hAnsi="Arial"/>
              </w:rPr>
            </w:pPr>
          </w:p>
          <w:p w14:paraId="2D95070E" w14:textId="77777777" w:rsidR="009268E9" w:rsidRDefault="009268E9">
            <w:pPr>
              <w:pStyle w:val="TableContents"/>
              <w:rPr>
                <w:rFonts w:ascii="Arial" w:hAnsi="Arial"/>
              </w:rPr>
            </w:pPr>
          </w:p>
          <w:p w14:paraId="7A031B4E" w14:textId="77777777" w:rsidR="00DB3B1D" w:rsidRDefault="00DB3B1D">
            <w:pPr>
              <w:pStyle w:val="TableContents"/>
              <w:rPr>
                <w:rFonts w:ascii="Arial" w:hAnsi="Arial"/>
              </w:rPr>
            </w:pPr>
          </w:p>
          <w:p w14:paraId="58457224" w14:textId="77777777" w:rsidR="00DB3B1D" w:rsidRDefault="00DB3B1D">
            <w:pPr>
              <w:pStyle w:val="TableContents"/>
              <w:rPr>
                <w:rFonts w:ascii="Arial" w:hAnsi="Arial"/>
              </w:rPr>
            </w:pPr>
          </w:p>
          <w:p w14:paraId="46D1FB42" w14:textId="77777777" w:rsidR="00DB3B1D" w:rsidRDefault="00DB3B1D">
            <w:pPr>
              <w:pStyle w:val="TableContents"/>
              <w:rPr>
                <w:rFonts w:ascii="Arial" w:hAnsi="Arial"/>
              </w:rPr>
            </w:pPr>
          </w:p>
          <w:p w14:paraId="3B67400B" w14:textId="77777777" w:rsidR="00DB3B1D" w:rsidRDefault="00DB3B1D">
            <w:pPr>
              <w:pStyle w:val="TableContents"/>
              <w:rPr>
                <w:rFonts w:ascii="Arial" w:hAnsi="Arial"/>
              </w:rPr>
            </w:pPr>
          </w:p>
          <w:p w14:paraId="3354A09F" w14:textId="77777777" w:rsidR="00DB3B1D" w:rsidRDefault="00DB3B1D">
            <w:pPr>
              <w:pStyle w:val="TableContents"/>
              <w:rPr>
                <w:rFonts w:ascii="Arial" w:hAnsi="Arial"/>
              </w:rPr>
            </w:pPr>
          </w:p>
          <w:p w14:paraId="10DBD3F1" w14:textId="77777777" w:rsidR="00DB3B1D" w:rsidRDefault="00DB3B1D">
            <w:pPr>
              <w:pStyle w:val="TableContents"/>
              <w:rPr>
                <w:rFonts w:ascii="Arial" w:hAnsi="Arial"/>
              </w:rPr>
            </w:pPr>
          </w:p>
          <w:p w14:paraId="313A9EAE" w14:textId="77777777" w:rsidR="00DB3B1D" w:rsidRDefault="00DB3B1D">
            <w:pPr>
              <w:pStyle w:val="TableContents"/>
              <w:rPr>
                <w:rFonts w:ascii="Arial" w:hAnsi="Arial"/>
              </w:rPr>
            </w:pPr>
          </w:p>
          <w:p w14:paraId="0BD110A5" w14:textId="77777777" w:rsidR="00DB3B1D" w:rsidRDefault="00DB3B1D">
            <w:pPr>
              <w:pStyle w:val="TableContents"/>
              <w:rPr>
                <w:rFonts w:ascii="Arial" w:hAnsi="Arial"/>
              </w:rPr>
            </w:pPr>
          </w:p>
          <w:p w14:paraId="156BC876" w14:textId="77777777" w:rsidR="00DB3B1D" w:rsidRDefault="00DB3B1D">
            <w:pPr>
              <w:pStyle w:val="TableContents"/>
              <w:rPr>
                <w:rFonts w:ascii="Arial" w:hAnsi="Arial"/>
              </w:rPr>
            </w:pPr>
          </w:p>
          <w:p w14:paraId="145F1EFD" w14:textId="77777777" w:rsidR="00DB3B1D" w:rsidRDefault="00DB3B1D">
            <w:pPr>
              <w:pStyle w:val="TableContents"/>
              <w:rPr>
                <w:rFonts w:ascii="Arial" w:hAnsi="Arial"/>
              </w:rPr>
            </w:pPr>
          </w:p>
          <w:p w14:paraId="1A53769F" w14:textId="77777777" w:rsidR="00DB3B1D" w:rsidRDefault="00DB3B1D">
            <w:pPr>
              <w:pStyle w:val="TableContents"/>
              <w:rPr>
                <w:rFonts w:ascii="Arial" w:hAnsi="Arial"/>
              </w:rPr>
            </w:pPr>
          </w:p>
          <w:p w14:paraId="38ED911B" w14:textId="77777777" w:rsidR="00DB3B1D" w:rsidRDefault="00DB3B1D">
            <w:pPr>
              <w:pStyle w:val="TableContents"/>
              <w:rPr>
                <w:rFonts w:ascii="Arial" w:hAnsi="Arial"/>
              </w:rPr>
            </w:pPr>
          </w:p>
          <w:p w14:paraId="37847FDB" w14:textId="77777777" w:rsidR="00DB3B1D" w:rsidRDefault="00DB3B1D">
            <w:pPr>
              <w:pStyle w:val="TableContents"/>
              <w:rPr>
                <w:rFonts w:ascii="Arial" w:hAnsi="Arial"/>
              </w:rPr>
            </w:pPr>
          </w:p>
          <w:p w14:paraId="6FF13E0D" w14:textId="5B6F15E4" w:rsidR="009268E9" w:rsidRDefault="00DB3B1D">
            <w:pPr>
              <w:pStyle w:val="TableContents"/>
              <w:rPr>
                <w:rFonts w:ascii="Arial" w:hAnsi="Arial"/>
              </w:rPr>
            </w:pPr>
            <w:r>
              <w:rPr>
                <w:rFonts w:ascii="Arial" w:hAnsi="Arial"/>
              </w:rPr>
              <w:t>Respond to Ofwat (KR)</w:t>
            </w:r>
          </w:p>
        </w:tc>
      </w:tr>
      <w:tr w:rsidR="00654F12" w14:paraId="30775F1E"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5E86E299" w14:textId="705A0275" w:rsidR="00654F12" w:rsidRDefault="00DB3B1D">
            <w:pPr>
              <w:pStyle w:val="TableContents"/>
              <w:rPr>
                <w:rFonts w:ascii="Arial" w:hAnsi="Arial"/>
                <w:b/>
                <w:bCs/>
                <w:color w:val="000000"/>
              </w:rPr>
            </w:pPr>
            <w:r>
              <w:rPr>
                <w:rFonts w:ascii="Arial" w:hAnsi="Arial"/>
                <w:b/>
                <w:bCs/>
                <w:color w:val="000000"/>
              </w:rPr>
              <w:lastRenderedPageBreak/>
              <w:t>5</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6A0D90A9" w14:textId="5AD3E954" w:rsidR="008C7A3A" w:rsidRDefault="00DB3B1D" w:rsidP="2518D106">
            <w:pPr>
              <w:pStyle w:val="Textbody"/>
              <w:jc w:val="both"/>
              <w:rPr>
                <w:rFonts w:ascii="Arial" w:hAnsi="Arial"/>
                <w:b/>
              </w:rPr>
            </w:pPr>
            <w:r>
              <w:rPr>
                <w:rFonts w:ascii="Arial" w:hAnsi="Arial"/>
                <w:b/>
              </w:rPr>
              <w:t xml:space="preserve">Open </w:t>
            </w:r>
            <w:r w:rsidR="00F83A24" w:rsidRPr="00166EF3">
              <w:rPr>
                <w:rFonts w:ascii="Arial" w:hAnsi="Arial"/>
                <w:b/>
              </w:rPr>
              <w:t>Change Proposals</w:t>
            </w:r>
          </w:p>
          <w:p w14:paraId="176978EA" w14:textId="07F8D226" w:rsidR="00166EF3" w:rsidRDefault="00166EF3" w:rsidP="00166EF3">
            <w:pPr>
              <w:pStyle w:val="Textbody"/>
              <w:numPr>
                <w:ilvl w:val="0"/>
                <w:numId w:val="15"/>
              </w:numPr>
              <w:jc w:val="both"/>
              <w:rPr>
                <w:rFonts w:ascii="Arial" w:hAnsi="Arial"/>
                <w:b/>
              </w:rPr>
            </w:pPr>
            <w:r>
              <w:rPr>
                <w:rFonts w:ascii="Arial" w:hAnsi="Arial"/>
                <w:b/>
              </w:rPr>
              <w:t xml:space="preserve">Provisions of Service Connection Meters </w:t>
            </w:r>
            <w:r w:rsidR="005B703E">
              <w:rPr>
                <w:rFonts w:ascii="Arial" w:hAnsi="Arial"/>
                <w:b/>
              </w:rPr>
              <w:t>–</w:t>
            </w:r>
            <w:r>
              <w:rPr>
                <w:rFonts w:ascii="Arial" w:hAnsi="Arial"/>
                <w:b/>
              </w:rPr>
              <w:t xml:space="preserve"> </w:t>
            </w:r>
            <w:r w:rsidR="005B703E">
              <w:rPr>
                <w:rFonts w:ascii="Arial" w:hAnsi="Arial"/>
                <w:b/>
              </w:rPr>
              <w:t>FWC</w:t>
            </w:r>
          </w:p>
          <w:p w14:paraId="705E4AB4" w14:textId="0FAAF5C2" w:rsidR="0012039C" w:rsidRDefault="003B201A" w:rsidP="005A5828">
            <w:pPr>
              <w:pStyle w:val="Textbody"/>
              <w:jc w:val="both"/>
              <w:rPr>
                <w:rFonts w:ascii="Arial" w:hAnsi="Arial"/>
                <w:bCs/>
              </w:rPr>
            </w:pPr>
            <w:r>
              <w:rPr>
                <w:rFonts w:ascii="Arial" w:hAnsi="Arial"/>
                <w:bCs/>
              </w:rPr>
              <w:t xml:space="preserve">The Panel </w:t>
            </w:r>
            <w:r w:rsidR="005A5828">
              <w:rPr>
                <w:rFonts w:ascii="Arial" w:hAnsi="Arial"/>
                <w:bCs/>
              </w:rPr>
              <w:t>reviewed the further information provided by FWC following its request</w:t>
            </w:r>
            <w:r w:rsidR="001C3217">
              <w:rPr>
                <w:rFonts w:ascii="Arial" w:hAnsi="Arial"/>
                <w:bCs/>
              </w:rPr>
              <w:t>.</w:t>
            </w:r>
            <w:r w:rsidR="005A5828">
              <w:rPr>
                <w:rFonts w:ascii="Arial" w:hAnsi="Arial"/>
                <w:bCs/>
              </w:rPr>
              <w:t xml:space="preserve">  </w:t>
            </w:r>
            <w:r w:rsidR="00564AC3">
              <w:rPr>
                <w:rFonts w:ascii="Arial" w:hAnsi="Arial"/>
                <w:bCs/>
              </w:rPr>
              <w:t xml:space="preserve">It was noted that </w:t>
            </w:r>
            <w:r w:rsidR="00840580">
              <w:rPr>
                <w:rFonts w:ascii="Arial" w:hAnsi="Arial"/>
                <w:bCs/>
              </w:rPr>
              <w:t xml:space="preserve">the proposal related to issues around </w:t>
            </w:r>
            <w:r w:rsidR="0012039C">
              <w:rPr>
                <w:rFonts w:ascii="Arial" w:hAnsi="Arial"/>
                <w:bCs/>
              </w:rPr>
              <w:t xml:space="preserve">a. the procurement of meters and the contestability of activities around this and b. liability for </w:t>
            </w:r>
            <w:r w:rsidR="00E9659E">
              <w:rPr>
                <w:rFonts w:ascii="Arial" w:hAnsi="Arial"/>
                <w:bCs/>
              </w:rPr>
              <w:t xml:space="preserve">compensation for </w:t>
            </w:r>
            <w:r w:rsidR="0012039C">
              <w:rPr>
                <w:rFonts w:ascii="Arial" w:hAnsi="Arial"/>
                <w:bCs/>
              </w:rPr>
              <w:t xml:space="preserve">costs incurred </w:t>
            </w:r>
            <w:r w:rsidR="00E9659E">
              <w:rPr>
                <w:rFonts w:ascii="Arial" w:hAnsi="Arial"/>
                <w:bCs/>
              </w:rPr>
              <w:t xml:space="preserve">by SLPs </w:t>
            </w:r>
            <w:r w:rsidR="0012039C">
              <w:rPr>
                <w:rFonts w:ascii="Arial" w:hAnsi="Arial"/>
                <w:bCs/>
              </w:rPr>
              <w:t xml:space="preserve">due to meter supply issues. </w:t>
            </w:r>
          </w:p>
          <w:p w14:paraId="75B80EF5" w14:textId="4A96AE4F" w:rsidR="00CB1122" w:rsidRDefault="0012039C" w:rsidP="005A5828">
            <w:pPr>
              <w:pStyle w:val="Textbody"/>
              <w:jc w:val="both"/>
              <w:rPr>
                <w:rFonts w:ascii="Arial" w:hAnsi="Arial"/>
                <w:bCs/>
              </w:rPr>
            </w:pPr>
            <w:r>
              <w:rPr>
                <w:rFonts w:ascii="Arial" w:hAnsi="Arial"/>
                <w:bCs/>
              </w:rPr>
              <w:t xml:space="preserve">In relation to contestability, </w:t>
            </w:r>
            <w:r w:rsidR="00992CD7">
              <w:rPr>
                <w:rFonts w:ascii="Arial" w:hAnsi="Arial"/>
                <w:bCs/>
              </w:rPr>
              <w:t xml:space="preserve">the Panel agreed that while the </w:t>
            </w:r>
            <w:r w:rsidR="00AB1D77">
              <w:rPr>
                <w:rFonts w:ascii="Arial" w:hAnsi="Arial"/>
                <w:bCs/>
              </w:rPr>
              <w:t>installation of meters was likely to be a contestable activity, the procurement of meters was not</w:t>
            </w:r>
            <w:r>
              <w:rPr>
                <w:rFonts w:ascii="Arial" w:hAnsi="Arial"/>
                <w:bCs/>
              </w:rPr>
              <w:t xml:space="preserve"> contestable</w:t>
            </w:r>
            <w:r w:rsidR="00232A3C">
              <w:rPr>
                <w:rFonts w:ascii="Arial" w:hAnsi="Arial"/>
                <w:bCs/>
              </w:rPr>
              <w:t xml:space="preserve"> and it was important that those issues were not conflated</w:t>
            </w:r>
            <w:r w:rsidR="00AB1D77">
              <w:rPr>
                <w:rFonts w:ascii="Arial" w:hAnsi="Arial"/>
                <w:bCs/>
              </w:rPr>
              <w:t>.</w:t>
            </w:r>
            <w:r>
              <w:rPr>
                <w:rFonts w:ascii="Arial" w:hAnsi="Arial"/>
                <w:bCs/>
              </w:rPr>
              <w:t xml:space="preserve">  However, the Panel accepted that there was scope for water companies to </w:t>
            </w:r>
            <w:r w:rsidR="00ED397B">
              <w:rPr>
                <w:rFonts w:ascii="Arial" w:hAnsi="Arial"/>
                <w:bCs/>
              </w:rPr>
              <w:t xml:space="preserve">provide more clarity around meter procurement in their Annual Contestability Statement (ACS).  The Panel agreed that it would make an alternative recommendation to Ofwat </w:t>
            </w:r>
            <w:r w:rsidR="00CB1122">
              <w:rPr>
                <w:rFonts w:ascii="Arial" w:hAnsi="Arial"/>
                <w:bCs/>
              </w:rPr>
              <w:t>to emphasise that companies should include this within their ACS.  GM will draft some wording for the amendment.</w:t>
            </w:r>
          </w:p>
          <w:p w14:paraId="7CABAEBC" w14:textId="11664D0E" w:rsidR="00E9659E" w:rsidRDefault="00CB1122" w:rsidP="005A5828">
            <w:pPr>
              <w:pStyle w:val="Textbody"/>
              <w:jc w:val="both"/>
              <w:rPr>
                <w:rFonts w:ascii="Arial" w:hAnsi="Arial"/>
                <w:bCs/>
              </w:rPr>
            </w:pPr>
            <w:r>
              <w:rPr>
                <w:rFonts w:ascii="Arial" w:hAnsi="Arial"/>
                <w:bCs/>
              </w:rPr>
              <w:t xml:space="preserve">In relation to compensation, the Panel noted that there was a </w:t>
            </w:r>
            <w:r w:rsidR="00292D87">
              <w:rPr>
                <w:rFonts w:ascii="Arial" w:hAnsi="Arial"/>
                <w:bCs/>
              </w:rPr>
              <w:t xml:space="preserve">question of whether the financial risk of meter supply issues is balanced fairly between water companies and SLPs, who may be less able to bear additional costs.  After discussion, it was agreed </w:t>
            </w:r>
            <w:r w:rsidR="00AB6D60">
              <w:rPr>
                <w:rFonts w:ascii="Arial" w:hAnsi="Arial"/>
                <w:bCs/>
              </w:rPr>
              <w:t xml:space="preserve">that the supply issue was likely to be a temporary one due to supply chain issues affecting many sectors at the moment.  In addition, </w:t>
            </w:r>
            <w:r w:rsidR="002E4F39">
              <w:rPr>
                <w:rFonts w:ascii="Arial" w:hAnsi="Arial"/>
                <w:bCs/>
              </w:rPr>
              <w:t>liability for costs or compensation could be negotiated with water companies on a case by case basis</w:t>
            </w:r>
            <w:r w:rsidR="00004E1E">
              <w:rPr>
                <w:rFonts w:ascii="Arial" w:hAnsi="Arial"/>
                <w:bCs/>
              </w:rPr>
              <w:t xml:space="preserve">, via the Model Adoption Agreement or some other form of dispute resolution.  </w:t>
            </w:r>
            <w:r w:rsidR="00AB6D60">
              <w:rPr>
                <w:rFonts w:ascii="Arial" w:hAnsi="Arial"/>
                <w:bCs/>
              </w:rPr>
              <w:t xml:space="preserve">The Panel therefore agreed that there was not sufficient justification to recommend a permanent change to the </w:t>
            </w:r>
            <w:r w:rsidR="00CC5158">
              <w:rPr>
                <w:rFonts w:ascii="Arial" w:hAnsi="Arial"/>
                <w:bCs/>
              </w:rPr>
              <w:t>WSG</w:t>
            </w:r>
            <w:r w:rsidR="00AB6D60">
              <w:rPr>
                <w:rFonts w:ascii="Arial" w:hAnsi="Arial"/>
                <w:bCs/>
              </w:rPr>
              <w:t xml:space="preserve"> for what is likely to be a short term challenge</w:t>
            </w:r>
            <w:r w:rsidR="00004E1E">
              <w:rPr>
                <w:rFonts w:ascii="Arial" w:hAnsi="Arial"/>
                <w:bCs/>
              </w:rPr>
              <w:t xml:space="preserve"> when there are other avenues for redress already available</w:t>
            </w:r>
            <w:r w:rsidR="00AB6D60">
              <w:rPr>
                <w:rFonts w:ascii="Arial" w:hAnsi="Arial"/>
                <w:bCs/>
              </w:rPr>
              <w:t>.</w:t>
            </w:r>
          </w:p>
          <w:p w14:paraId="34090D71" w14:textId="77777777" w:rsidR="00F83A24" w:rsidRDefault="00E9659E" w:rsidP="005A5828">
            <w:pPr>
              <w:pStyle w:val="Textbody"/>
              <w:jc w:val="both"/>
              <w:rPr>
                <w:rFonts w:ascii="Arial" w:hAnsi="Arial"/>
                <w:bCs/>
              </w:rPr>
            </w:pPr>
            <w:r>
              <w:rPr>
                <w:rFonts w:ascii="Arial" w:hAnsi="Arial"/>
                <w:bCs/>
              </w:rPr>
              <w:t>It was agreed that the Panel’s recommendation would be for an alternative change to address the ACS issue and to reject the compensation issue.  The Panel will consult with FWC on its alternative proposal and the Secretary will draft a note to FWC accordingly.</w:t>
            </w:r>
          </w:p>
          <w:p w14:paraId="77AFF5B9" w14:textId="3CA209CA" w:rsidR="00E9659E" w:rsidRPr="00D10638" w:rsidRDefault="00E9659E" w:rsidP="005A5828">
            <w:pPr>
              <w:pStyle w:val="Textbody"/>
              <w:jc w:val="both"/>
              <w:rPr>
                <w:rFonts w:ascii="Arial" w:hAnsi="Arial"/>
                <w:bCs/>
              </w:rPr>
            </w:pPr>
            <w:r>
              <w:rPr>
                <w:rFonts w:ascii="Arial" w:hAnsi="Arial"/>
                <w:bCs/>
              </w:rPr>
              <w:lastRenderedPageBreak/>
              <w:t>The Panel noted that the proposal did not raise any water quality issues and therefore it was not necessary to consult with the DWI.</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0A87C54E" w14:textId="77777777" w:rsidR="00654F12" w:rsidRDefault="00654F12">
            <w:pPr>
              <w:pStyle w:val="TableContents"/>
              <w:rPr>
                <w:rFonts w:ascii="Arial" w:hAnsi="Arial"/>
              </w:rPr>
            </w:pPr>
          </w:p>
          <w:p w14:paraId="10C41EB5" w14:textId="77777777" w:rsidR="00AA16CD" w:rsidRDefault="00AA16CD">
            <w:pPr>
              <w:pStyle w:val="TableContents"/>
              <w:rPr>
                <w:rFonts w:ascii="Arial" w:hAnsi="Arial"/>
              </w:rPr>
            </w:pPr>
          </w:p>
          <w:p w14:paraId="17566EE9" w14:textId="77777777" w:rsidR="000463D0" w:rsidRDefault="000463D0">
            <w:pPr>
              <w:pStyle w:val="TableContents"/>
              <w:rPr>
                <w:rFonts w:ascii="Arial" w:hAnsi="Arial"/>
              </w:rPr>
            </w:pPr>
          </w:p>
          <w:p w14:paraId="44D52D8A" w14:textId="77777777" w:rsidR="000463D0" w:rsidRDefault="000463D0">
            <w:pPr>
              <w:pStyle w:val="TableContents"/>
              <w:rPr>
                <w:rFonts w:ascii="Arial" w:hAnsi="Arial"/>
              </w:rPr>
            </w:pPr>
          </w:p>
          <w:p w14:paraId="72A44F60" w14:textId="77777777" w:rsidR="000463D0" w:rsidRDefault="000463D0">
            <w:pPr>
              <w:pStyle w:val="TableContents"/>
              <w:rPr>
                <w:rFonts w:ascii="Arial" w:hAnsi="Arial"/>
              </w:rPr>
            </w:pPr>
          </w:p>
          <w:p w14:paraId="75E5DAE5" w14:textId="77777777" w:rsidR="00E9659E" w:rsidRDefault="00E9659E">
            <w:pPr>
              <w:pStyle w:val="TableContents"/>
              <w:rPr>
                <w:rFonts w:ascii="Arial" w:hAnsi="Arial"/>
              </w:rPr>
            </w:pPr>
          </w:p>
          <w:p w14:paraId="6A3B3155" w14:textId="77777777" w:rsidR="00E9659E" w:rsidRDefault="00E9659E">
            <w:pPr>
              <w:pStyle w:val="TableContents"/>
              <w:rPr>
                <w:rFonts w:ascii="Arial" w:hAnsi="Arial"/>
              </w:rPr>
            </w:pPr>
          </w:p>
          <w:p w14:paraId="6B6F6F3A" w14:textId="77777777" w:rsidR="00E9659E" w:rsidRDefault="00E9659E">
            <w:pPr>
              <w:pStyle w:val="TableContents"/>
              <w:rPr>
                <w:rFonts w:ascii="Arial" w:hAnsi="Arial"/>
              </w:rPr>
            </w:pPr>
          </w:p>
          <w:p w14:paraId="19739168" w14:textId="77777777" w:rsidR="00E9659E" w:rsidRDefault="00E9659E">
            <w:pPr>
              <w:pStyle w:val="TableContents"/>
              <w:rPr>
                <w:rFonts w:ascii="Arial" w:hAnsi="Arial"/>
              </w:rPr>
            </w:pPr>
          </w:p>
          <w:p w14:paraId="23E8F48E" w14:textId="77777777" w:rsidR="00E9659E" w:rsidRDefault="00E9659E">
            <w:pPr>
              <w:pStyle w:val="TableContents"/>
              <w:rPr>
                <w:rFonts w:ascii="Arial" w:hAnsi="Arial"/>
              </w:rPr>
            </w:pPr>
          </w:p>
          <w:p w14:paraId="3FF674F9" w14:textId="77777777" w:rsidR="00E9659E" w:rsidRDefault="00E9659E">
            <w:pPr>
              <w:pStyle w:val="TableContents"/>
              <w:rPr>
                <w:rFonts w:ascii="Arial" w:hAnsi="Arial"/>
              </w:rPr>
            </w:pPr>
          </w:p>
          <w:p w14:paraId="24BB81EA" w14:textId="77777777" w:rsidR="00E9659E" w:rsidRDefault="00E9659E">
            <w:pPr>
              <w:pStyle w:val="TableContents"/>
              <w:rPr>
                <w:rFonts w:ascii="Arial" w:hAnsi="Arial"/>
              </w:rPr>
            </w:pPr>
          </w:p>
          <w:p w14:paraId="1B902F79" w14:textId="77777777" w:rsidR="00E9659E" w:rsidRDefault="00E9659E">
            <w:pPr>
              <w:pStyle w:val="TableContents"/>
              <w:rPr>
                <w:rFonts w:ascii="Arial" w:hAnsi="Arial"/>
              </w:rPr>
            </w:pPr>
          </w:p>
          <w:p w14:paraId="343AD4F1" w14:textId="77777777" w:rsidR="00E9659E" w:rsidRDefault="00E9659E">
            <w:pPr>
              <w:pStyle w:val="TableContents"/>
              <w:rPr>
                <w:rFonts w:ascii="Arial" w:hAnsi="Arial"/>
              </w:rPr>
            </w:pPr>
          </w:p>
          <w:p w14:paraId="5AA91B01" w14:textId="77777777" w:rsidR="00E9659E" w:rsidRDefault="00E9659E">
            <w:pPr>
              <w:pStyle w:val="TableContents"/>
              <w:rPr>
                <w:rFonts w:ascii="Arial" w:hAnsi="Arial"/>
              </w:rPr>
            </w:pPr>
          </w:p>
          <w:p w14:paraId="08FE9584" w14:textId="77777777" w:rsidR="00E9659E" w:rsidRDefault="00E9659E">
            <w:pPr>
              <w:pStyle w:val="TableContents"/>
              <w:rPr>
                <w:rFonts w:ascii="Arial" w:hAnsi="Arial"/>
              </w:rPr>
            </w:pPr>
          </w:p>
          <w:p w14:paraId="76A87E49" w14:textId="77777777" w:rsidR="00E9659E" w:rsidRDefault="00E9659E">
            <w:pPr>
              <w:pStyle w:val="TableContents"/>
              <w:rPr>
                <w:rFonts w:ascii="Arial" w:hAnsi="Arial"/>
              </w:rPr>
            </w:pPr>
          </w:p>
          <w:p w14:paraId="10F6F287" w14:textId="77777777" w:rsidR="00E9659E" w:rsidRDefault="00E9659E">
            <w:pPr>
              <w:pStyle w:val="TableContents"/>
              <w:rPr>
                <w:rFonts w:ascii="Arial" w:hAnsi="Arial"/>
              </w:rPr>
            </w:pPr>
          </w:p>
          <w:p w14:paraId="0AA8901A" w14:textId="77777777" w:rsidR="00E9659E" w:rsidRDefault="00E9659E">
            <w:pPr>
              <w:pStyle w:val="TableContents"/>
              <w:rPr>
                <w:rFonts w:ascii="Arial" w:hAnsi="Arial"/>
              </w:rPr>
            </w:pPr>
          </w:p>
          <w:p w14:paraId="29F45A70" w14:textId="77777777" w:rsidR="00E9659E" w:rsidRDefault="00E9659E">
            <w:pPr>
              <w:pStyle w:val="TableContents"/>
              <w:rPr>
                <w:rFonts w:ascii="Arial" w:hAnsi="Arial"/>
              </w:rPr>
            </w:pPr>
          </w:p>
          <w:p w14:paraId="57D6155F" w14:textId="29828CED" w:rsidR="00E9659E" w:rsidRDefault="00E9659E">
            <w:pPr>
              <w:pStyle w:val="TableContents"/>
              <w:rPr>
                <w:rFonts w:ascii="Arial" w:hAnsi="Arial"/>
              </w:rPr>
            </w:pPr>
            <w:r>
              <w:rPr>
                <w:rFonts w:ascii="Arial" w:hAnsi="Arial"/>
              </w:rPr>
              <w:t>Draft ACS wording (GM)</w:t>
            </w:r>
          </w:p>
          <w:p w14:paraId="143ED6F4" w14:textId="77777777" w:rsidR="00E9659E" w:rsidRDefault="00E9659E">
            <w:pPr>
              <w:pStyle w:val="TableContents"/>
              <w:rPr>
                <w:rFonts w:ascii="Arial" w:hAnsi="Arial"/>
              </w:rPr>
            </w:pPr>
          </w:p>
          <w:p w14:paraId="3E6615F4" w14:textId="77777777" w:rsidR="00E9659E" w:rsidRDefault="00E9659E">
            <w:pPr>
              <w:pStyle w:val="TableContents"/>
              <w:rPr>
                <w:rFonts w:ascii="Arial" w:hAnsi="Arial"/>
              </w:rPr>
            </w:pPr>
          </w:p>
          <w:p w14:paraId="55402457" w14:textId="77777777" w:rsidR="00E9659E" w:rsidRDefault="00E9659E">
            <w:pPr>
              <w:pStyle w:val="TableContents"/>
              <w:rPr>
                <w:rFonts w:ascii="Arial" w:hAnsi="Arial"/>
              </w:rPr>
            </w:pPr>
          </w:p>
          <w:p w14:paraId="753DF302" w14:textId="77777777" w:rsidR="00E9659E" w:rsidRDefault="00E9659E">
            <w:pPr>
              <w:pStyle w:val="TableContents"/>
              <w:rPr>
                <w:rFonts w:ascii="Arial" w:hAnsi="Arial"/>
              </w:rPr>
            </w:pPr>
          </w:p>
          <w:p w14:paraId="7EB12AB5" w14:textId="77777777" w:rsidR="00E9659E" w:rsidRDefault="00E9659E">
            <w:pPr>
              <w:pStyle w:val="TableContents"/>
              <w:rPr>
                <w:rFonts w:ascii="Arial" w:hAnsi="Arial"/>
              </w:rPr>
            </w:pPr>
          </w:p>
          <w:p w14:paraId="05084D62" w14:textId="77777777" w:rsidR="00E9659E" w:rsidRDefault="00E9659E">
            <w:pPr>
              <w:pStyle w:val="TableContents"/>
              <w:rPr>
                <w:rFonts w:ascii="Arial" w:hAnsi="Arial"/>
              </w:rPr>
            </w:pPr>
          </w:p>
          <w:p w14:paraId="0BE43F03" w14:textId="77777777" w:rsidR="00E9659E" w:rsidRDefault="00E9659E">
            <w:pPr>
              <w:pStyle w:val="TableContents"/>
              <w:rPr>
                <w:rFonts w:ascii="Arial" w:hAnsi="Arial"/>
              </w:rPr>
            </w:pPr>
          </w:p>
          <w:p w14:paraId="3A96A4BF" w14:textId="77777777" w:rsidR="00E9659E" w:rsidRDefault="00E9659E">
            <w:pPr>
              <w:pStyle w:val="TableContents"/>
              <w:rPr>
                <w:rFonts w:ascii="Arial" w:hAnsi="Arial"/>
              </w:rPr>
            </w:pPr>
          </w:p>
          <w:p w14:paraId="350CB505" w14:textId="77777777" w:rsidR="00E9659E" w:rsidRDefault="00E9659E">
            <w:pPr>
              <w:pStyle w:val="TableContents"/>
              <w:rPr>
                <w:rFonts w:ascii="Arial" w:hAnsi="Arial"/>
              </w:rPr>
            </w:pPr>
          </w:p>
          <w:p w14:paraId="03F81848" w14:textId="77777777" w:rsidR="00E9659E" w:rsidRDefault="00E9659E">
            <w:pPr>
              <w:pStyle w:val="TableContents"/>
              <w:rPr>
                <w:rFonts w:ascii="Arial" w:hAnsi="Arial"/>
              </w:rPr>
            </w:pPr>
          </w:p>
          <w:p w14:paraId="1DEF62D6" w14:textId="77777777" w:rsidR="00E9659E" w:rsidRDefault="00E9659E">
            <w:pPr>
              <w:pStyle w:val="TableContents"/>
              <w:rPr>
                <w:rFonts w:ascii="Arial" w:hAnsi="Arial"/>
              </w:rPr>
            </w:pPr>
          </w:p>
          <w:p w14:paraId="7E0C4929" w14:textId="77777777" w:rsidR="00E9659E" w:rsidRDefault="00E9659E">
            <w:pPr>
              <w:pStyle w:val="TableContents"/>
              <w:rPr>
                <w:rFonts w:ascii="Arial" w:hAnsi="Arial"/>
              </w:rPr>
            </w:pPr>
          </w:p>
          <w:p w14:paraId="4A71C2CB" w14:textId="77777777" w:rsidR="00E9659E" w:rsidRDefault="00E9659E">
            <w:pPr>
              <w:pStyle w:val="TableContents"/>
              <w:rPr>
                <w:rFonts w:ascii="Arial" w:hAnsi="Arial"/>
              </w:rPr>
            </w:pPr>
          </w:p>
          <w:p w14:paraId="12C75920" w14:textId="77777777" w:rsidR="00E9659E" w:rsidRDefault="00E9659E">
            <w:pPr>
              <w:pStyle w:val="TableContents"/>
              <w:rPr>
                <w:rFonts w:ascii="Arial" w:hAnsi="Arial"/>
              </w:rPr>
            </w:pPr>
          </w:p>
          <w:p w14:paraId="5CFE09EA" w14:textId="77777777" w:rsidR="00E9659E" w:rsidRDefault="00E9659E">
            <w:pPr>
              <w:pStyle w:val="TableContents"/>
              <w:rPr>
                <w:rFonts w:ascii="Arial" w:hAnsi="Arial"/>
              </w:rPr>
            </w:pPr>
          </w:p>
          <w:p w14:paraId="63735B13" w14:textId="77777777" w:rsidR="00E9659E" w:rsidRDefault="00E9659E">
            <w:pPr>
              <w:pStyle w:val="TableContents"/>
              <w:rPr>
                <w:rFonts w:ascii="Arial" w:hAnsi="Arial"/>
              </w:rPr>
            </w:pPr>
          </w:p>
          <w:p w14:paraId="6B7A2BA1" w14:textId="77777777" w:rsidR="00E9659E" w:rsidRDefault="00E9659E">
            <w:pPr>
              <w:pStyle w:val="TableContents"/>
              <w:rPr>
                <w:rFonts w:ascii="Arial" w:hAnsi="Arial"/>
              </w:rPr>
            </w:pPr>
          </w:p>
          <w:p w14:paraId="22347077" w14:textId="77777777" w:rsidR="00E9659E" w:rsidRDefault="00E9659E">
            <w:pPr>
              <w:pStyle w:val="TableContents"/>
              <w:rPr>
                <w:rFonts w:ascii="Arial" w:hAnsi="Arial"/>
              </w:rPr>
            </w:pPr>
          </w:p>
          <w:p w14:paraId="1FBB6462" w14:textId="77777777" w:rsidR="00E9659E" w:rsidRDefault="00E9659E">
            <w:pPr>
              <w:pStyle w:val="TableContents"/>
              <w:rPr>
                <w:rFonts w:ascii="Arial" w:hAnsi="Arial"/>
              </w:rPr>
            </w:pPr>
          </w:p>
          <w:p w14:paraId="6841F70B" w14:textId="77777777" w:rsidR="00E9659E" w:rsidRDefault="00E9659E">
            <w:pPr>
              <w:pStyle w:val="TableContents"/>
              <w:rPr>
                <w:rFonts w:ascii="Arial" w:hAnsi="Arial"/>
              </w:rPr>
            </w:pPr>
          </w:p>
          <w:p w14:paraId="3472BADC" w14:textId="052E8DF6" w:rsidR="00AA16CD" w:rsidRDefault="00E9659E">
            <w:pPr>
              <w:pStyle w:val="TableContents"/>
              <w:rPr>
                <w:rFonts w:ascii="Arial" w:hAnsi="Arial"/>
              </w:rPr>
            </w:pPr>
            <w:r>
              <w:rPr>
                <w:rFonts w:ascii="Arial" w:hAnsi="Arial"/>
              </w:rPr>
              <w:t>Draft note to FWC (KR)</w:t>
            </w:r>
          </w:p>
        </w:tc>
      </w:tr>
      <w:tr w:rsidR="00AA16CD" w14:paraId="66E38A4D"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3D18E828" w14:textId="02513FDC" w:rsidR="00AA16CD" w:rsidRDefault="008E0C7E">
            <w:pPr>
              <w:pStyle w:val="TableContents"/>
              <w:rPr>
                <w:rFonts w:ascii="Arial" w:hAnsi="Arial"/>
                <w:b/>
                <w:bCs/>
                <w:color w:val="000000"/>
              </w:rPr>
            </w:pPr>
            <w:r>
              <w:rPr>
                <w:rFonts w:ascii="Arial" w:hAnsi="Arial"/>
                <w:b/>
                <w:bCs/>
                <w:color w:val="000000"/>
              </w:rPr>
              <w:t>6</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0006581E" w14:textId="77777777" w:rsidR="00761787" w:rsidRDefault="00DB4D76" w:rsidP="2518D106">
            <w:pPr>
              <w:pStyle w:val="Textbody"/>
              <w:jc w:val="both"/>
              <w:rPr>
                <w:rFonts w:ascii="Arial" w:eastAsia="Times New Roman" w:hAnsi="Arial"/>
                <w:b/>
                <w:bCs/>
                <w:lang w:eastAsia="en-GB"/>
              </w:rPr>
            </w:pPr>
            <w:r w:rsidRPr="00DB4D76">
              <w:rPr>
                <w:rFonts w:ascii="Arial" w:eastAsia="Times New Roman" w:hAnsi="Arial"/>
                <w:b/>
                <w:bCs/>
                <w:lang w:eastAsia="en-GB"/>
              </w:rPr>
              <w:t>Water Industry Specifications (WIS) Information and Guidance Notes (IGN) – review by WUK Standards Board</w:t>
            </w:r>
          </w:p>
          <w:p w14:paraId="7F8F2610" w14:textId="06EF0836" w:rsidR="00DB4D76" w:rsidRPr="00DB4D76" w:rsidRDefault="00DB4D76" w:rsidP="2518D106">
            <w:pPr>
              <w:pStyle w:val="Textbody"/>
              <w:jc w:val="both"/>
              <w:rPr>
                <w:rFonts w:ascii="Arial" w:hAnsi="Arial"/>
              </w:rPr>
            </w:pPr>
            <w:r>
              <w:rPr>
                <w:rFonts w:ascii="Arial" w:eastAsia="Times New Roman" w:hAnsi="Arial"/>
                <w:lang w:eastAsia="en-GB"/>
              </w:rPr>
              <w:t>The Panel noted the emails from the WUK Standards Board regarding its ongoing project to review the W</w:t>
            </w:r>
            <w:r w:rsidR="006D302C">
              <w:rPr>
                <w:rFonts w:ascii="Arial" w:eastAsia="Times New Roman" w:hAnsi="Arial"/>
                <w:lang w:eastAsia="en-GB"/>
              </w:rPr>
              <w:t>IS IGNs.  It was noted that the Standards Board was now aware of the Panel’s work so that it could be part of future consultations if required.</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46980B2F" w14:textId="77777777" w:rsidR="00AA16CD" w:rsidRDefault="00AA16CD">
            <w:pPr>
              <w:pStyle w:val="TableContents"/>
              <w:rPr>
                <w:rFonts w:ascii="Arial" w:hAnsi="Arial"/>
              </w:rPr>
            </w:pPr>
          </w:p>
          <w:p w14:paraId="477F3CA7" w14:textId="77777777" w:rsidR="00BA3CFE" w:rsidRDefault="00BA3CFE">
            <w:pPr>
              <w:pStyle w:val="TableContents"/>
              <w:rPr>
                <w:rFonts w:ascii="Arial" w:hAnsi="Arial"/>
              </w:rPr>
            </w:pPr>
          </w:p>
          <w:p w14:paraId="6FF84A81" w14:textId="77777777" w:rsidR="00BA3CFE" w:rsidRDefault="00BA3CFE">
            <w:pPr>
              <w:pStyle w:val="TableContents"/>
              <w:rPr>
                <w:rFonts w:ascii="Arial" w:hAnsi="Arial"/>
              </w:rPr>
            </w:pPr>
          </w:p>
          <w:p w14:paraId="2F8AA9BC" w14:textId="77777777" w:rsidR="00BA3CFE" w:rsidRDefault="00BA3CFE">
            <w:pPr>
              <w:pStyle w:val="TableContents"/>
              <w:rPr>
                <w:rFonts w:ascii="Arial" w:hAnsi="Arial"/>
              </w:rPr>
            </w:pPr>
          </w:p>
          <w:p w14:paraId="0CAB09B3" w14:textId="77777777" w:rsidR="00BA3CFE" w:rsidRDefault="00BA3CFE">
            <w:pPr>
              <w:pStyle w:val="TableContents"/>
              <w:rPr>
                <w:rFonts w:ascii="Arial" w:hAnsi="Arial"/>
              </w:rPr>
            </w:pPr>
          </w:p>
          <w:p w14:paraId="4848A343" w14:textId="77777777" w:rsidR="00BA3CFE" w:rsidRDefault="00BA3CFE">
            <w:pPr>
              <w:pStyle w:val="TableContents"/>
              <w:rPr>
                <w:rFonts w:ascii="Arial" w:hAnsi="Arial"/>
              </w:rPr>
            </w:pPr>
          </w:p>
          <w:p w14:paraId="599B02DA" w14:textId="77777777" w:rsidR="00BA3CFE" w:rsidRDefault="00BA3CFE">
            <w:pPr>
              <w:pStyle w:val="TableContents"/>
              <w:rPr>
                <w:rFonts w:ascii="Arial" w:hAnsi="Arial"/>
              </w:rPr>
            </w:pPr>
          </w:p>
          <w:p w14:paraId="074759A4" w14:textId="77777777" w:rsidR="00BA3CFE" w:rsidRDefault="00BA3CFE">
            <w:pPr>
              <w:pStyle w:val="TableContents"/>
              <w:rPr>
                <w:rFonts w:ascii="Arial" w:hAnsi="Arial"/>
              </w:rPr>
            </w:pPr>
          </w:p>
          <w:p w14:paraId="31B4245B" w14:textId="242678E9" w:rsidR="00BA3CFE" w:rsidRDefault="00BA3CFE">
            <w:pPr>
              <w:pStyle w:val="TableContents"/>
              <w:rPr>
                <w:rFonts w:ascii="Arial" w:hAnsi="Arial"/>
              </w:rPr>
            </w:pPr>
          </w:p>
        </w:tc>
      </w:tr>
      <w:tr w:rsidR="00386197" w14:paraId="2EEB0255"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1B62CA84" w14:textId="3840B187" w:rsidR="00386197" w:rsidRDefault="00ED3AF9">
            <w:pPr>
              <w:pStyle w:val="TableContents"/>
              <w:rPr>
                <w:rFonts w:ascii="Arial" w:hAnsi="Arial"/>
                <w:b/>
                <w:bCs/>
                <w:color w:val="000000"/>
              </w:rPr>
            </w:pPr>
            <w:r>
              <w:rPr>
                <w:rFonts w:ascii="Arial" w:hAnsi="Arial"/>
                <w:b/>
                <w:bCs/>
                <w:color w:val="000000"/>
              </w:rPr>
              <w:t>7</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376CAD2B" w14:textId="77777777" w:rsidR="00BA3CFE" w:rsidRDefault="00ED3AF9" w:rsidP="00FD2C00">
            <w:pPr>
              <w:pStyle w:val="Textbody"/>
              <w:jc w:val="both"/>
              <w:rPr>
                <w:rFonts w:ascii="Arial" w:hAnsi="Arial"/>
                <w:b/>
              </w:rPr>
            </w:pPr>
            <w:r>
              <w:rPr>
                <w:rFonts w:ascii="Arial" w:hAnsi="Arial"/>
                <w:b/>
              </w:rPr>
              <w:t>2023 Panel Meeting dates</w:t>
            </w:r>
          </w:p>
          <w:p w14:paraId="336B0A99" w14:textId="56CB24DE" w:rsidR="00ED3AF9" w:rsidRDefault="00ED3AF9" w:rsidP="00FD2C00">
            <w:pPr>
              <w:pStyle w:val="Textbody"/>
              <w:jc w:val="both"/>
              <w:rPr>
                <w:rFonts w:ascii="Arial" w:hAnsi="Arial"/>
                <w:bCs/>
              </w:rPr>
            </w:pPr>
            <w:r>
              <w:rPr>
                <w:rFonts w:ascii="Arial" w:hAnsi="Arial"/>
                <w:bCs/>
              </w:rPr>
              <w:t xml:space="preserve">It was agreed that meetings will be scheduled every 2 months in 2023, with meetings being cancelled if not required.  </w:t>
            </w:r>
            <w:r w:rsidR="00513050">
              <w:rPr>
                <w:rFonts w:ascii="Arial" w:hAnsi="Arial"/>
                <w:bCs/>
              </w:rPr>
              <w:t>A face to face meeting may be arranged during the year subject to an appropriate agenda. The first meeting of 2023 was likely to take place in February.</w:t>
            </w:r>
          </w:p>
          <w:p w14:paraId="37FFD7E3" w14:textId="0D5F5704" w:rsidR="00513050" w:rsidRPr="00ED3AF9" w:rsidRDefault="00513050" w:rsidP="00FD2C00">
            <w:pPr>
              <w:pStyle w:val="Textbody"/>
              <w:jc w:val="both"/>
              <w:rPr>
                <w:rFonts w:ascii="Arial" w:hAnsi="Arial"/>
                <w:bCs/>
              </w:rPr>
            </w:pPr>
            <w:r>
              <w:rPr>
                <w:rFonts w:ascii="Arial" w:hAnsi="Arial"/>
                <w:bCs/>
              </w:rPr>
              <w:t>The Secretary will circulate some suggested weeks for meetings shortly.</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5385DF0B" w14:textId="77777777" w:rsidR="00386197" w:rsidRDefault="00386197">
            <w:pPr>
              <w:pStyle w:val="TableContents"/>
              <w:rPr>
                <w:rFonts w:ascii="Arial" w:hAnsi="Arial"/>
              </w:rPr>
            </w:pPr>
          </w:p>
          <w:p w14:paraId="1B95906A" w14:textId="77777777" w:rsidR="00FD2C00" w:rsidRDefault="00FD2C00">
            <w:pPr>
              <w:pStyle w:val="TableContents"/>
              <w:rPr>
                <w:rFonts w:ascii="Arial" w:hAnsi="Arial"/>
              </w:rPr>
            </w:pPr>
          </w:p>
          <w:p w14:paraId="4E2B59CC" w14:textId="77777777" w:rsidR="00513050" w:rsidRDefault="00513050">
            <w:pPr>
              <w:pStyle w:val="TableContents"/>
              <w:rPr>
                <w:rFonts w:ascii="Arial" w:hAnsi="Arial"/>
              </w:rPr>
            </w:pPr>
          </w:p>
          <w:p w14:paraId="34FE4BC9" w14:textId="77777777" w:rsidR="00513050" w:rsidRDefault="00513050">
            <w:pPr>
              <w:pStyle w:val="TableContents"/>
              <w:rPr>
                <w:rFonts w:ascii="Arial" w:hAnsi="Arial"/>
              </w:rPr>
            </w:pPr>
          </w:p>
          <w:p w14:paraId="261DE191" w14:textId="77777777" w:rsidR="00513050" w:rsidRDefault="00513050">
            <w:pPr>
              <w:pStyle w:val="TableContents"/>
              <w:rPr>
                <w:rFonts w:ascii="Arial" w:hAnsi="Arial"/>
              </w:rPr>
            </w:pPr>
          </w:p>
          <w:p w14:paraId="6EC6057A" w14:textId="77777777" w:rsidR="00513050" w:rsidRDefault="00513050">
            <w:pPr>
              <w:pStyle w:val="TableContents"/>
              <w:rPr>
                <w:rFonts w:ascii="Arial" w:hAnsi="Arial"/>
              </w:rPr>
            </w:pPr>
          </w:p>
          <w:p w14:paraId="7BB8B0B5" w14:textId="77777777" w:rsidR="00513050" w:rsidRDefault="00513050">
            <w:pPr>
              <w:pStyle w:val="TableContents"/>
              <w:rPr>
                <w:rFonts w:ascii="Arial" w:hAnsi="Arial"/>
              </w:rPr>
            </w:pPr>
          </w:p>
          <w:p w14:paraId="3806C1B8" w14:textId="77777777" w:rsidR="00513050" w:rsidRDefault="00513050">
            <w:pPr>
              <w:pStyle w:val="TableContents"/>
              <w:rPr>
                <w:rFonts w:ascii="Arial" w:hAnsi="Arial"/>
              </w:rPr>
            </w:pPr>
          </w:p>
          <w:p w14:paraId="6D09E033" w14:textId="32353B2F" w:rsidR="00FD2C00" w:rsidRDefault="00513050">
            <w:pPr>
              <w:pStyle w:val="TableContents"/>
              <w:rPr>
                <w:rFonts w:ascii="Arial" w:hAnsi="Arial"/>
              </w:rPr>
            </w:pPr>
            <w:r>
              <w:rPr>
                <w:rFonts w:ascii="Arial" w:hAnsi="Arial"/>
              </w:rPr>
              <w:t>Circulate meeting dates (KR)</w:t>
            </w:r>
          </w:p>
        </w:tc>
      </w:tr>
      <w:tr w:rsidR="00513050" w14:paraId="3A7FD39C"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4AF286A7" w14:textId="54E5E6E8" w:rsidR="00513050" w:rsidRDefault="00513050">
            <w:pPr>
              <w:pStyle w:val="TableContents"/>
              <w:rPr>
                <w:rFonts w:ascii="Arial" w:hAnsi="Arial"/>
                <w:b/>
                <w:bCs/>
                <w:color w:val="000000"/>
              </w:rPr>
            </w:pPr>
            <w:r>
              <w:rPr>
                <w:rFonts w:ascii="Arial" w:hAnsi="Arial"/>
                <w:b/>
                <w:bCs/>
                <w:color w:val="000000"/>
              </w:rPr>
              <w:t>8</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2E96C08C" w14:textId="77777777" w:rsidR="00513050" w:rsidRDefault="00513050" w:rsidP="002829B9">
            <w:pPr>
              <w:pStyle w:val="Textbody"/>
              <w:jc w:val="both"/>
              <w:rPr>
                <w:rFonts w:ascii="Arial" w:hAnsi="Arial"/>
                <w:b/>
              </w:rPr>
            </w:pPr>
            <w:r>
              <w:rPr>
                <w:rFonts w:ascii="Arial" w:hAnsi="Arial"/>
                <w:b/>
              </w:rPr>
              <w:t>AOB</w:t>
            </w:r>
          </w:p>
          <w:p w14:paraId="05E8EFA3" w14:textId="77777777" w:rsidR="00513050" w:rsidRPr="00D92D74" w:rsidRDefault="00D92D74" w:rsidP="002829B9">
            <w:pPr>
              <w:pStyle w:val="Textbody"/>
              <w:numPr>
                <w:ilvl w:val="0"/>
                <w:numId w:val="15"/>
              </w:numPr>
              <w:spacing w:line="240" w:lineRule="auto"/>
              <w:jc w:val="both"/>
              <w:rPr>
                <w:rFonts w:ascii="Arial" w:hAnsi="Arial"/>
                <w:b/>
              </w:rPr>
            </w:pPr>
            <w:r>
              <w:rPr>
                <w:rFonts w:ascii="Arial" w:hAnsi="Arial"/>
                <w:b/>
              </w:rPr>
              <w:t xml:space="preserve">Fair Water Connections </w:t>
            </w:r>
          </w:p>
          <w:p w14:paraId="1B394A00" w14:textId="77777777" w:rsidR="00D92D74" w:rsidRDefault="00D92D74" w:rsidP="002829B9">
            <w:pPr>
              <w:pStyle w:val="Textbody"/>
              <w:spacing w:line="240" w:lineRule="auto"/>
              <w:ind w:left="720"/>
              <w:jc w:val="both"/>
              <w:rPr>
                <w:rFonts w:ascii="Arial" w:hAnsi="Arial"/>
                <w:bCs/>
              </w:rPr>
            </w:pPr>
            <w:r>
              <w:rPr>
                <w:rFonts w:ascii="Arial" w:hAnsi="Arial"/>
                <w:bCs/>
              </w:rPr>
              <w:t>The Panel noted the email from Martyn Speight with details of the change in arrangements for FWC going forward.  It was noted that this may impact on the volume of change requests received.</w:t>
            </w:r>
          </w:p>
          <w:p w14:paraId="295DE835" w14:textId="6F069EE9" w:rsidR="00465C21" w:rsidRDefault="00465C21" w:rsidP="002829B9">
            <w:pPr>
              <w:pStyle w:val="ListParagraph"/>
              <w:numPr>
                <w:ilvl w:val="0"/>
                <w:numId w:val="15"/>
              </w:numPr>
              <w:jc w:val="both"/>
              <w:rPr>
                <w:rFonts w:ascii="Arial" w:hAnsi="Arial" w:cs="Arial"/>
                <w:b/>
                <w:szCs w:val="24"/>
              </w:rPr>
            </w:pPr>
            <w:r w:rsidRPr="00465C21">
              <w:rPr>
                <w:rFonts w:ascii="Arial" w:hAnsi="Arial" w:cs="Arial"/>
                <w:b/>
                <w:szCs w:val="24"/>
              </w:rPr>
              <w:t>W</w:t>
            </w:r>
            <w:r>
              <w:rPr>
                <w:rFonts w:ascii="Arial" w:hAnsi="Arial" w:cs="Arial"/>
                <w:b/>
                <w:szCs w:val="24"/>
              </w:rPr>
              <w:t>UK</w:t>
            </w:r>
            <w:r w:rsidRPr="00465C21">
              <w:rPr>
                <w:rFonts w:ascii="Arial" w:hAnsi="Arial" w:cs="Arial"/>
                <w:b/>
                <w:szCs w:val="24"/>
              </w:rPr>
              <w:t xml:space="preserve"> National Guidance Document on the provision of water for firefighting</w:t>
            </w:r>
            <w:r>
              <w:rPr>
                <w:rFonts w:ascii="Arial" w:hAnsi="Arial" w:cs="Arial"/>
                <w:b/>
                <w:szCs w:val="24"/>
              </w:rPr>
              <w:t xml:space="preserve"> (</w:t>
            </w:r>
            <w:r w:rsidRPr="00465C21">
              <w:rPr>
                <w:rFonts w:ascii="Arial" w:hAnsi="Arial" w:cs="Arial"/>
                <w:b/>
                <w:szCs w:val="24"/>
              </w:rPr>
              <w:t>2007 3rd edition</w:t>
            </w:r>
            <w:r>
              <w:rPr>
                <w:rFonts w:ascii="Arial" w:hAnsi="Arial" w:cs="Arial"/>
                <w:b/>
                <w:szCs w:val="24"/>
              </w:rPr>
              <w:t>)</w:t>
            </w:r>
          </w:p>
          <w:p w14:paraId="0460DDAD" w14:textId="4F74FB54" w:rsidR="00465C21" w:rsidRDefault="00465C21" w:rsidP="002829B9">
            <w:pPr>
              <w:pStyle w:val="ListParagraph"/>
              <w:jc w:val="both"/>
              <w:rPr>
                <w:rFonts w:ascii="Arial" w:hAnsi="Arial" w:cs="Arial"/>
                <w:bCs/>
                <w:szCs w:val="24"/>
              </w:rPr>
            </w:pPr>
          </w:p>
          <w:p w14:paraId="5524A13D" w14:textId="02AB730C" w:rsidR="00D92D74" w:rsidRPr="00BD06E0" w:rsidRDefault="00465C21" w:rsidP="00BD06E0">
            <w:pPr>
              <w:pStyle w:val="ListParagraph"/>
              <w:jc w:val="both"/>
              <w:rPr>
                <w:rFonts w:ascii="Arial" w:hAnsi="Arial" w:cs="Arial"/>
                <w:bCs/>
                <w:szCs w:val="24"/>
              </w:rPr>
            </w:pPr>
            <w:r>
              <w:rPr>
                <w:rFonts w:ascii="Arial" w:hAnsi="Arial" w:cs="Arial"/>
                <w:bCs/>
                <w:szCs w:val="24"/>
              </w:rPr>
              <w:t xml:space="preserve">SLPs have come across a potential conflict between the WUK Guidance Document on provision of water for firefighting and </w:t>
            </w:r>
            <w:r w:rsidR="00770E9D">
              <w:rPr>
                <w:rFonts w:ascii="Arial" w:hAnsi="Arial" w:cs="Arial"/>
                <w:bCs/>
                <w:szCs w:val="24"/>
              </w:rPr>
              <w:t xml:space="preserve">companies’ DCS, which do not align with these requirements. </w:t>
            </w:r>
            <w:r w:rsidR="00142AF0">
              <w:rPr>
                <w:rFonts w:ascii="Arial" w:hAnsi="Arial" w:cs="Arial"/>
                <w:bCs/>
                <w:szCs w:val="24"/>
              </w:rPr>
              <w:t xml:space="preserve">There is also the potential for conflicts with the Memorandum of Understanding between companies and fire services.  </w:t>
            </w:r>
            <w:r w:rsidR="00B31771">
              <w:rPr>
                <w:rFonts w:ascii="Arial" w:hAnsi="Arial" w:cs="Arial"/>
                <w:bCs/>
                <w:szCs w:val="24"/>
              </w:rPr>
              <w:t xml:space="preserve">After discussion, it was agreed that the issue should first be referred to the Panel’s Technical Sub-Group for </w:t>
            </w:r>
            <w:r w:rsidR="00BD06E0">
              <w:rPr>
                <w:rFonts w:ascii="Arial" w:hAnsi="Arial" w:cs="Arial"/>
                <w:bCs/>
                <w:szCs w:val="24"/>
              </w:rPr>
              <w:t>review and comment on the best next steps, including whether a change proposal is likely to be required and who should submit this.  WUK should also be advised in case a wider review of this issue and its guidance is necessary.</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78C8AB97" w14:textId="77777777" w:rsidR="00513050" w:rsidRDefault="00513050">
            <w:pPr>
              <w:pStyle w:val="TableContents"/>
              <w:rPr>
                <w:rFonts w:ascii="Arial" w:hAnsi="Arial"/>
              </w:rPr>
            </w:pPr>
          </w:p>
          <w:p w14:paraId="4F18EF33" w14:textId="77777777" w:rsidR="00BD06E0" w:rsidRDefault="00BD06E0">
            <w:pPr>
              <w:pStyle w:val="TableContents"/>
              <w:rPr>
                <w:rFonts w:ascii="Arial" w:hAnsi="Arial"/>
              </w:rPr>
            </w:pPr>
          </w:p>
          <w:p w14:paraId="50CE6EBE" w14:textId="77777777" w:rsidR="00BD06E0" w:rsidRDefault="00BD06E0">
            <w:pPr>
              <w:pStyle w:val="TableContents"/>
              <w:rPr>
                <w:rFonts w:ascii="Arial" w:hAnsi="Arial"/>
              </w:rPr>
            </w:pPr>
          </w:p>
          <w:p w14:paraId="064DFBF8" w14:textId="77777777" w:rsidR="00BD06E0" w:rsidRDefault="00BD06E0">
            <w:pPr>
              <w:pStyle w:val="TableContents"/>
              <w:rPr>
                <w:rFonts w:ascii="Arial" w:hAnsi="Arial"/>
              </w:rPr>
            </w:pPr>
          </w:p>
          <w:p w14:paraId="2F6B99A2" w14:textId="77777777" w:rsidR="00BD06E0" w:rsidRDefault="00BD06E0">
            <w:pPr>
              <w:pStyle w:val="TableContents"/>
              <w:rPr>
                <w:rFonts w:ascii="Arial" w:hAnsi="Arial"/>
              </w:rPr>
            </w:pPr>
          </w:p>
          <w:p w14:paraId="49D77B5F" w14:textId="77777777" w:rsidR="00BD06E0" w:rsidRDefault="00BD06E0">
            <w:pPr>
              <w:pStyle w:val="TableContents"/>
              <w:rPr>
                <w:rFonts w:ascii="Arial" w:hAnsi="Arial"/>
              </w:rPr>
            </w:pPr>
          </w:p>
          <w:p w14:paraId="516FBA1F" w14:textId="77777777" w:rsidR="00BD06E0" w:rsidRDefault="00BD06E0">
            <w:pPr>
              <w:pStyle w:val="TableContents"/>
              <w:rPr>
                <w:rFonts w:ascii="Arial" w:hAnsi="Arial"/>
              </w:rPr>
            </w:pPr>
          </w:p>
          <w:p w14:paraId="3C9BA0C1" w14:textId="77777777" w:rsidR="00BD06E0" w:rsidRDefault="00BD06E0">
            <w:pPr>
              <w:pStyle w:val="TableContents"/>
              <w:rPr>
                <w:rFonts w:ascii="Arial" w:hAnsi="Arial"/>
              </w:rPr>
            </w:pPr>
          </w:p>
          <w:p w14:paraId="090C0662" w14:textId="77777777" w:rsidR="00BD06E0" w:rsidRDefault="00BD06E0">
            <w:pPr>
              <w:pStyle w:val="TableContents"/>
              <w:rPr>
                <w:rFonts w:ascii="Arial" w:hAnsi="Arial"/>
              </w:rPr>
            </w:pPr>
          </w:p>
          <w:p w14:paraId="7AFDADA4" w14:textId="77777777" w:rsidR="00BD06E0" w:rsidRDefault="00BD06E0">
            <w:pPr>
              <w:pStyle w:val="TableContents"/>
              <w:rPr>
                <w:rFonts w:ascii="Arial" w:hAnsi="Arial"/>
              </w:rPr>
            </w:pPr>
          </w:p>
          <w:p w14:paraId="75642A9D" w14:textId="77777777" w:rsidR="00BD06E0" w:rsidRDefault="00BD06E0">
            <w:pPr>
              <w:pStyle w:val="TableContents"/>
              <w:rPr>
                <w:rFonts w:ascii="Arial" w:hAnsi="Arial"/>
              </w:rPr>
            </w:pPr>
          </w:p>
          <w:p w14:paraId="53BC2C91" w14:textId="77777777" w:rsidR="00BD06E0" w:rsidRDefault="00BD06E0">
            <w:pPr>
              <w:pStyle w:val="TableContents"/>
              <w:rPr>
                <w:rFonts w:ascii="Arial" w:hAnsi="Arial"/>
              </w:rPr>
            </w:pPr>
          </w:p>
          <w:p w14:paraId="1A4CEDD3" w14:textId="77777777" w:rsidR="00BD06E0" w:rsidRDefault="00BD06E0">
            <w:pPr>
              <w:pStyle w:val="TableContents"/>
              <w:rPr>
                <w:rFonts w:ascii="Arial" w:hAnsi="Arial"/>
              </w:rPr>
            </w:pPr>
          </w:p>
          <w:p w14:paraId="521B69A5" w14:textId="77777777" w:rsidR="00BD06E0" w:rsidRDefault="00BD06E0">
            <w:pPr>
              <w:pStyle w:val="TableContents"/>
              <w:rPr>
                <w:rFonts w:ascii="Arial" w:hAnsi="Arial"/>
              </w:rPr>
            </w:pPr>
          </w:p>
          <w:p w14:paraId="1577304C" w14:textId="77777777" w:rsidR="00BD06E0" w:rsidRDefault="00BD06E0">
            <w:pPr>
              <w:pStyle w:val="TableContents"/>
              <w:rPr>
                <w:rFonts w:ascii="Arial" w:hAnsi="Arial"/>
              </w:rPr>
            </w:pPr>
          </w:p>
          <w:p w14:paraId="32A34D1C" w14:textId="77777777" w:rsidR="00BD06E0" w:rsidRDefault="00BD06E0">
            <w:pPr>
              <w:pStyle w:val="TableContents"/>
              <w:rPr>
                <w:rFonts w:ascii="Arial" w:hAnsi="Arial"/>
              </w:rPr>
            </w:pPr>
          </w:p>
          <w:p w14:paraId="3CAE2A7C" w14:textId="77777777" w:rsidR="00BD06E0" w:rsidRDefault="00BD06E0">
            <w:pPr>
              <w:pStyle w:val="TableContents"/>
              <w:rPr>
                <w:rFonts w:ascii="Arial" w:hAnsi="Arial"/>
              </w:rPr>
            </w:pPr>
          </w:p>
          <w:p w14:paraId="2C47CD53" w14:textId="77777777" w:rsidR="00BD06E0" w:rsidRDefault="00BD06E0">
            <w:pPr>
              <w:pStyle w:val="TableContents"/>
              <w:rPr>
                <w:rFonts w:ascii="Arial" w:hAnsi="Arial"/>
              </w:rPr>
            </w:pPr>
          </w:p>
          <w:p w14:paraId="6B482618" w14:textId="77777777" w:rsidR="00BD06E0" w:rsidRDefault="00BD06E0">
            <w:pPr>
              <w:pStyle w:val="TableContents"/>
              <w:rPr>
                <w:rFonts w:ascii="Arial" w:hAnsi="Arial"/>
              </w:rPr>
            </w:pPr>
          </w:p>
          <w:p w14:paraId="3F8128A8" w14:textId="77777777" w:rsidR="00BD06E0" w:rsidRDefault="00BD06E0">
            <w:pPr>
              <w:pStyle w:val="TableContents"/>
              <w:rPr>
                <w:rFonts w:ascii="Arial" w:hAnsi="Arial"/>
              </w:rPr>
            </w:pPr>
          </w:p>
          <w:p w14:paraId="2DBE5C92" w14:textId="77777777" w:rsidR="00BD06E0" w:rsidRDefault="00BD06E0">
            <w:pPr>
              <w:pStyle w:val="TableContents"/>
              <w:rPr>
                <w:rFonts w:ascii="Arial" w:hAnsi="Arial"/>
              </w:rPr>
            </w:pPr>
          </w:p>
          <w:p w14:paraId="794A8290" w14:textId="6A1666ED" w:rsidR="00BD06E0" w:rsidRDefault="00BD06E0">
            <w:pPr>
              <w:pStyle w:val="TableContents"/>
              <w:rPr>
                <w:rFonts w:ascii="Arial" w:hAnsi="Arial"/>
              </w:rPr>
            </w:pPr>
            <w:r>
              <w:rPr>
                <w:rFonts w:ascii="Arial" w:hAnsi="Arial"/>
              </w:rPr>
              <w:t>Refer to Tech Sub-Group and WUK (KR)</w:t>
            </w:r>
          </w:p>
        </w:tc>
      </w:tr>
    </w:tbl>
    <w:p w14:paraId="3121B655" w14:textId="2C36A38D" w:rsidR="00E67CAC" w:rsidRDefault="00E67CAC" w:rsidP="00BD06E0">
      <w:pPr>
        <w:suppressAutoHyphens w:val="0"/>
        <w:rPr>
          <w:rFonts w:ascii="Arial" w:hAnsi="Arial"/>
          <w:b/>
          <w:bCs/>
        </w:rPr>
      </w:pPr>
    </w:p>
    <w:p w14:paraId="500DA4A7" w14:textId="304D436A" w:rsidR="004438D2" w:rsidRDefault="004438D2" w:rsidP="004438D2">
      <w:pPr>
        <w:pStyle w:val="Standard"/>
        <w:rPr>
          <w:rFonts w:ascii="Arial" w:hAnsi="Arial"/>
          <w:b/>
          <w:bCs/>
        </w:rPr>
      </w:pPr>
      <w:r>
        <w:rPr>
          <w:rFonts w:ascii="Arial" w:hAnsi="Arial"/>
          <w:b/>
          <w:bCs/>
        </w:rPr>
        <w:t>Water</w:t>
      </w:r>
      <w:r w:rsidRPr="6800A573">
        <w:rPr>
          <w:rFonts w:ascii="Arial" w:hAnsi="Arial"/>
          <w:b/>
          <w:bCs/>
        </w:rPr>
        <w:t xml:space="preserve"> Adoption Panel</w:t>
      </w:r>
    </w:p>
    <w:p w14:paraId="36726898" w14:textId="77777777" w:rsidR="004438D2" w:rsidRDefault="004438D2" w:rsidP="004438D2">
      <w:pPr>
        <w:pStyle w:val="Standard"/>
        <w:rPr>
          <w:rFonts w:ascii="Arial" w:hAnsi="Arial"/>
          <w:b/>
          <w:bCs/>
        </w:rPr>
      </w:pPr>
      <w:r w:rsidRPr="04D8B7C8">
        <w:rPr>
          <w:rFonts w:ascii="Arial" w:hAnsi="Arial"/>
          <w:b/>
          <w:bCs/>
        </w:rPr>
        <w:t>Meeting Action Log</w:t>
      </w:r>
    </w:p>
    <w:p w14:paraId="5E236576" w14:textId="77777777" w:rsidR="004438D2" w:rsidRDefault="004438D2" w:rsidP="004438D2">
      <w:pPr>
        <w:pStyle w:val="Standard"/>
        <w:rPr>
          <w:rFonts w:ascii="Arial" w:hAnsi="Arial"/>
          <w:b/>
          <w:bCs/>
        </w:rPr>
      </w:pPr>
    </w:p>
    <w:p w14:paraId="0EF83C55" w14:textId="77777777" w:rsidR="004438D2" w:rsidRDefault="004438D2" w:rsidP="004438D2">
      <w:pPr>
        <w:pStyle w:val="Standard"/>
        <w:rPr>
          <w:rFonts w:ascii="Arial" w:hAnsi="Arial"/>
          <w:b/>
          <w:bCs/>
        </w:rPr>
      </w:pPr>
    </w:p>
    <w:tbl>
      <w:tblPr>
        <w:tblStyle w:val="TableGrid"/>
        <w:tblW w:w="9630" w:type="dxa"/>
        <w:tblLayout w:type="fixed"/>
        <w:tblLook w:val="06A0" w:firstRow="1" w:lastRow="0" w:firstColumn="1" w:lastColumn="0" w:noHBand="1" w:noVBand="1"/>
      </w:tblPr>
      <w:tblGrid>
        <w:gridCol w:w="1271"/>
        <w:gridCol w:w="3730"/>
        <w:gridCol w:w="1560"/>
        <w:gridCol w:w="1695"/>
        <w:gridCol w:w="1374"/>
      </w:tblGrid>
      <w:tr w:rsidR="004438D2" w14:paraId="5BD30053" w14:textId="77777777" w:rsidTr="009D7A23">
        <w:tc>
          <w:tcPr>
            <w:tcW w:w="1271" w:type="dxa"/>
          </w:tcPr>
          <w:p w14:paraId="642F41E6" w14:textId="77777777" w:rsidR="004438D2" w:rsidRDefault="004438D2" w:rsidP="009D7A23">
            <w:pPr>
              <w:pStyle w:val="Standard"/>
              <w:rPr>
                <w:rFonts w:ascii="Arial" w:hAnsi="Arial"/>
                <w:b/>
                <w:bCs/>
              </w:rPr>
            </w:pPr>
            <w:r w:rsidRPr="04D8B7C8">
              <w:rPr>
                <w:rFonts w:ascii="Arial" w:hAnsi="Arial"/>
                <w:b/>
                <w:bCs/>
              </w:rPr>
              <w:t>Date of Meeting</w:t>
            </w:r>
          </w:p>
        </w:tc>
        <w:tc>
          <w:tcPr>
            <w:tcW w:w="3730" w:type="dxa"/>
          </w:tcPr>
          <w:p w14:paraId="03FFF72A" w14:textId="77777777" w:rsidR="004438D2" w:rsidRDefault="004438D2" w:rsidP="009D7A23">
            <w:pPr>
              <w:pStyle w:val="Standard"/>
              <w:rPr>
                <w:rFonts w:ascii="Arial" w:hAnsi="Arial"/>
                <w:b/>
                <w:bCs/>
              </w:rPr>
            </w:pPr>
            <w:r w:rsidRPr="04D8B7C8">
              <w:rPr>
                <w:rFonts w:ascii="Arial" w:hAnsi="Arial"/>
                <w:b/>
                <w:bCs/>
              </w:rPr>
              <w:t>Action</w:t>
            </w:r>
          </w:p>
        </w:tc>
        <w:tc>
          <w:tcPr>
            <w:tcW w:w="1560" w:type="dxa"/>
          </w:tcPr>
          <w:p w14:paraId="0DB9BB3C" w14:textId="77777777" w:rsidR="004438D2" w:rsidRDefault="004438D2" w:rsidP="009D7A23">
            <w:pPr>
              <w:pStyle w:val="Standard"/>
              <w:rPr>
                <w:rFonts w:ascii="Arial" w:hAnsi="Arial"/>
                <w:b/>
                <w:bCs/>
              </w:rPr>
            </w:pPr>
            <w:r w:rsidRPr="04D8B7C8">
              <w:rPr>
                <w:rFonts w:ascii="Arial" w:hAnsi="Arial"/>
                <w:b/>
                <w:bCs/>
              </w:rPr>
              <w:t>Action Owner</w:t>
            </w:r>
          </w:p>
        </w:tc>
        <w:tc>
          <w:tcPr>
            <w:tcW w:w="1695" w:type="dxa"/>
          </w:tcPr>
          <w:p w14:paraId="2950B062" w14:textId="77777777" w:rsidR="004438D2" w:rsidRDefault="004438D2" w:rsidP="009D7A23">
            <w:pPr>
              <w:pStyle w:val="Standard"/>
              <w:rPr>
                <w:rFonts w:ascii="Arial" w:hAnsi="Arial"/>
                <w:b/>
                <w:bCs/>
              </w:rPr>
            </w:pPr>
            <w:r w:rsidRPr="04D8B7C8">
              <w:rPr>
                <w:rFonts w:ascii="Arial" w:hAnsi="Arial"/>
                <w:b/>
                <w:bCs/>
              </w:rPr>
              <w:t>Due Date</w:t>
            </w:r>
          </w:p>
        </w:tc>
        <w:tc>
          <w:tcPr>
            <w:tcW w:w="1374" w:type="dxa"/>
          </w:tcPr>
          <w:p w14:paraId="178B734D" w14:textId="77777777" w:rsidR="004438D2" w:rsidRDefault="004438D2" w:rsidP="009D7A23">
            <w:pPr>
              <w:pStyle w:val="Standard"/>
              <w:rPr>
                <w:rFonts w:ascii="Arial" w:hAnsi="Arial"/>
                <w:b/>
                <w:bCs/>
              </w:rPr>
            </w:pPr>
            <w:r w:rsidRPr="04D8B7C8">
              <w:rPr>
                <w:rFonts w:ascii="Arial" w:hAnsi="Arial"/>
                <w:b/>
                <w:bCs/>
              </w:rPr>
              <w:t>Status</w:t>
            </w:r>
          </w:p>
        </w:tc>
      </w:tr>
      <w:tr w:rsidR="00E2425F" w:rsidRPr="00D67136" w14:paraId="41E8542C" w14:textId="77777777" w:rsidTr="009D7A23">
        <w:tc>
          <w:tcPr>
            <w:tcW w:w="1271" w:type="dxa"/>
            <w:vMerge w:val="restart"/>
          </w:tcPr>
          <w:p w14:paraId="66D82176" w14:textId="6F5CB171" w:rsidR="00E2425F" w:rsidRDefault="00E2425F" w:rsidP="009D7A23">
            <w:pPr>
              <w:rPr>
                <w:rFonts w:ascii="Arial" w:hAnsi="Arial"/>
              </w:rPr>
            </w:pPr>
            <w:r>
              <w:rPr>
                <w:rFonts w:ascii="Arial" w:hAnsi="Arial"/>
              </w:rPr>
              <w:t>04/10/22</w:t>
            </w:r>
          </w:p>
        </w:tc>
        <w:tc>
          <w:tcPr>
            <w:tcW w:w="3730" w:type="dxa"/>
          </w:tcPr>
          <w:p w14:paraId="0C88A3E8" w14:textId="5C28A0AB" w:rsidR="00E2425F" w:rsidRDefault="00E2425F" w:rsidP="009D7A23">
            <w:pPr>
              <w:pStyle w:val="Standard"/>
              <w:rPr>
                <w:rFonts w:ascii="Arial" w:hAnsi="Arial"/>
              </w:rPr>
            </w:pPr>
            <w:r>
              <w:rPr>
                <w:rFonts w:ascii="Arial" w:hAnsi="Arial"/>
              </w:rPr>
              <w:t>CESWI – submit change proposal</w:t>
            </w:r>
          </w:p>
        </w:tc>
        <w:tc>
          <w:tcPr>
            <w:tcW w:w="1560" w:type="dxa"/>
          </w:tcPr>
          <w:p w14:paraId="71B2D5BB" w14:textId="77777777" w:rsidR="00E2425F" w:rsidRDefault="00E2425F" w:rsidP="009D7A23">
            <w:pPr>
              <w:pStyle w:val="Standard"/>
              <w:rPr>
                <w:rFonts w:ascii="Arial" w:hAnsi="Arial"/>
              </w:rPr>
            </w:pPr>
            <w:r>
              <w:rPr>
                <w:rFonts w:ascii="Arial" w:hAnsi="Arial"/>
              </w:rPr>
              <w:t>WRc/</w:t>
            </w:r>
          </w:p>
          <w:p w14:paraId="7104AE4E" w14:textId="39CFBDD8" w:rsidR="00E2425F" w:rsidRDefault="00E2425F" w:rsidP="009D7A23">
            <w:pPr>
              <w:pStyle w:val="Standard"/>
              <w:rPr>
                <w:rFonts w:ascii="Arial" w:hAnsi="Arial"/>
              </w:rPr>
            </w:pPr>
            <w:r>
              <w:rPr>
                <w:rFonts w:ascii="Arial" w:hAnsi="Arial"/>
              </w:rPr>
              <w:t>CESWI Group</w:t>
            </w:r>
          </w:p>
        </w:tc>
        <w:tc>
          <w:tcPr>
            <w:tcW w:w="1695" w:type="dxa"/>
          </w:tcPr>
          <w:p w14:paraId="5B9FDAEC" w14:textId="3F204FF2" w:rsidR="00E2425F" w:rsidRDefault="00E2425F" w:rsidP="009D7A23">
            <w:pPr>
              <w:pStyle w:val="Standard"/>
              <w:rPr>
                <w:rFonts w:ascii="Arial" w:hAnsi="Arial"/>
              </w:rPr>
            </w:pPr>
            <w:r>
              <w:rPr>
                <w:rFonts w:ascii="Arial" w:hAnsi="Arial"/>
              </w:rPr>
              <w:t>30/11/22</w:t>
            </w:r>
          </w:p>
        </w:tc>
        <w:tc>
          <w:tcPr>
            <w:tcW w:w="1374" w:type="dxa"/>
          </w:tcPr>
          <w:p w14:paraId="1E9E81DA" w14:textId="77777777" w:rsidR="00E2425F" w:rsidRDefault="00E2425F" w:rsidP="009D7A23">
            <w:pPr>
              <w:pStyle w:val="Standard"/>
              <w:rPr>
                <w:rFonts w:ascii="Arial" w:hAnsi="Arial"/>
              </w:rPr>
            </w:pPr>
          </w:p>
        </w:tc>
      </w:tr>
      <w:tr w:rsidR="00E2425F" w:rsidRPr="00D67136" w14:paraId="0D482169" w14:textId="77777777" w:rsidTr="009D7A23">
        <w:tc>
          <w:tcPr>
            <w:tcW w:w="1271" w:type="dxa"/>
            <w:vMerge/>
          </w:tcPr>
          <w:p w14:paraId="0FC282CD" w14:textId="77777777" w:rsidR="00E2425F" w:rsidRDefault="00E2425F" w:rsidP="009D7A23">
            <w:pPr>
              <w:rPr>
                <w:rFonts w:ascii="Arial" w:hAnsi="Arial"/>
              </w:rPr>
            </w:pPr>
          </w:p>
        </w:tc>
        <w:tc>
          <w:tcPr>
            <w:tcW w:w="3730" w:type="dxa"/>
          </w:tcPr>
          <w:p w14:paraId="3420A6A0" w14:textId="772420C8" w:rsidR="00E2425F" w:rsidRDefault="00E2425F" w:rsidP="009D7A23">
            <w:pPr>
              <w:pStyle w:val="Standard"/>
              <w:rPr>
                <w:rFonts w:ascii="Arial" w:hAnsi="Arial"/>
              </w:rPr>
            </w:pPr>
            <w:r>
              <w:rPr>
                <w:rFonts w:ascii="Arial" w:hAnsi="Arial"/>
              </w:rPr>
              <w:t>FWC proposal – draft email to FWC and circulate</w:t>
            </w:r>
          </w:p>
        </w:tc>
        <w:tc>
          <w:tcPr>
            <w:tcW w:w="1560" w:type="dxa"/>
          </w:tcPr>
          <w:p w14:paraId="63A50BC9" w14:textId="7074AECE" w:rsidR="00E2425F" w:rsidRDefault="00E2425F" w:rsidP="009D7A23">
            <w:pPr>
              <w:pStyle w:val="Standard"/>
              <w:rPr>
                <w:rFonts w:ascii="Arial" w:hAnsi="Arial"/>
              </w:rPr>
            </w:pPr>
            <w:r>
              <w:rPr>
                <w:rFonts w:ascii="Arial" w:hAnsi="Arial"/>
              </w:rPr>
              <w:t>KR</w:t>
            </w:r>
          </w:p>
        </w:tc>
        <w:tc>
          <w:tcPr>
            <w:tcW w:w="1695" w:type="dxa"/>
          </w:tcPr>
          <w:p w14:paraId="4DC1F8AF" w14:textId="6B7EC140" w:rsidR="00E2425F" w:rsidRDefault="00E2425F" w:rsidP="009D7A23">
            <w:pPr>
              <w:pStyle w:val="Standard"/>
              <w:rPr>
                <w:rFonts w:ascii="Arial" w:hAnsi="Arial"/>
              </w:rPr>
            </w:pPr>
            <w:r>
              <w:rPr>
                <w:rFonts w:ascii="Arial" w:hAnsi="Arial"/>
              </w:rPr>
              <w:t>11/10/22</w:t>
            </w:r>
          </w:p>
        </w:tc>
        <w:tc>
          <w:tcPr>
            <w:tcW w:w="1374" w:type="dxa"/>
          </w:tcPr>
          <w:p w14:paraId="256E232C" w14:textId="7930785C" w:rsidR="00E2425F" w:rsidRDefault="00BD06E0" w:rsidP="009D7A23">
            <w:pPr>
              <w:pStyle w:val="Standard"/>
              <w:rPr>
                <w:rFonts w:ascii="Arial" w:hAnsi="Arial"/>
              </w:rPr>
            </w:pPr>
            <w:r>
              <w:rPr>
                <w:rFonts w:ascii="Arial" w:hAnsi="Arial"/>
              </w:rPr>
              <w:t>Complete</w:t>
            </w:r>
          </w:p>
        </w:tc>
      </w:tr>
      <w:tr w:rsidR="00E2425F" w:rsidRPr="00D67136" w14:paraId="7110EB9C" w14:textId="77777777" w:rsidTr="009D7A23">
        <w:tc>
          <w:tcPr>
            <w:tcW w:w="1271" w:type="dxa"/>
            <w:vMerge/>
          </w:tcPr>
          <w:p w14:paraId="6703229C" w14:textId="77777777" w:rsidR="00E2425F" w:rsidRDefault="00E2425F" w:rsidP="009D7A23">
            <w:pPr>
              <w:rPr>
                <w:rFonts w:ascii="Arial" w:hAnsi="Arial"/>
              </w:rPr>
            </w:pPr>
          </w:p>
        </w:tc>
        <w:tc>
          <w:tcPr>
            <w:tcW w:w="3730" w:type="dxa"/>
          </w:tcPr>
          <w:p w14:paraId="7E53B5DA" w14:textId="24651DFA" w:rsidR="00E2425F" w:rsidRDefault="00E2425F" w:rsidP="009D7A23">
            <w:pPr>
              <w:pStyle w:val="Standard"/>
              <w:rPr>
                <w:rFonts w:ascii="Arial" w:hAnsi="Arial"/>
              </w:rPr>
            </w:pPr>
            <w:r>
              <w:rPr>
                <w:rFonts w:ascii="Arial" w:hAnsi="Arial"/>
              </w:rPr>
              <w:t>ToR – submit change proposal to Ofwat</w:t>
            </w:r>
          </w:p>
        </w:tc>
        <w:tc>
          <w:tcPr>
            <w:tcW w:w="1560" w:type="dxa"/>
          </w:tcPr>
          <w:p w14:paraId="6C745DB6" w14:textId="7360C31B" w:rsidR="00E2425F" w:rsidRDefault="00E2425F" w:rsidP="009D7A23">
            <w:pPr>
              <w:pStyle w:val="Standard"/>
              <w:rPr>
                <w:rFonts w:ascii="Arial" w:hAnsi="Arial"/>
              </w:rPr>
            </w:pPr>
            <w:r>
              <w:rPr>
                <w:rFonts w:ascii="Arial" w:hAnsi="Arial"/>
              </w:rPr>
              <w:t>VO/KR</w:t>
            </w:r>
          </w:p>
        </w:tc>
        <w:tc>
          <w:tcPr>
            <w:tcW w:w="1695" w:type="dxa"/>
          </w:tcPr>
          <w:p w14:paraId="473BF026" w14:textId="391E6F9D" w:rsidR="00E2425F" w:rsidRDefault="00E2425F" w:rsidP="009D7A23">
            <w:pPr>
              <w:pStyle w:val="Standard"/>
              <w:rPr>
                <w:rFonts w:ascii="Arial" w:hAnsi="Arial"/>
              </w:rPr>
            </w:pPr>
            <w:r>
              <w:rPr>
                <w:rFonts w:ascii="Arial" w:hAnsi="Arial"/>
              </w:rPr>
              <w:t>14/10/22</w:t>
            </w:r>
          </w:p>
        </w:tc>
        <w:tc>
          <w:tcPr>
            <w:tcW w:w="1374" w:type="dxa"/>
          </w:tcPr>
          <w:p w14:paraId="6178C455" w14:textId="1F2AEAE9" w:rsidR="00E2425F" w:rsidRDefault="00BD06E0" w:rsidP="009D7A23">
            <w:pPr>
              <w:pStyle w:val="Standard"/>
              <w:rPr>
                <w:rFonts w:ascii="Arial" w:hAnsi="Arial"/>
              </w:rPr>
            </w:pPr>
            <w:r>
              <w:rPr>
                <w:rFonts w:ascii="Arial" w:hAnsi="Arial"/>
              </w:rPr>
              <w:t>Complete</w:t>
            </w:r>
          </w:p>
        </w:tc>
      </w:tr>
      <w:tr w:rsidR="0050605E" w:rsidRPr="00D67136" w14:paraId="7C1F2519" w14:textId="77777777" w:rsidTr="009D7A23">
        <w:tc>
          <w:tcPr>
            <w:tcW w:w="1271" w:type="dxa"/>
            <w:vMerge w:val="restart"/>
          </w:tcPr>
          <w:p w14:paraId="5FB36BF6" w14:textId="140914B1" w:rsidR="0050605E" w:rsidRDefault="0050605E" w:rsidP="009D7A23">
            <w:pPr>
              <w:rPr>
                <w:rFonts w:ascii="Arial" w:hAnsi="Arial"/>
              </w:rPr>
            </w:pPr>
            <w:r>
              <w:rPr>
                <w:rFonts w:ascii="Arial" w:hAnsi="Arial"/>
              </w:rPr>
              <w:t>18/11/22</w:t>
            </w:r>
          </w:p>
        </w:tc>
        <w:tc>
          <w:tcPr>
            <w:tcW w:w="3730" w:type="dxa"/>
          </w:tcPr>
          <w:p w14:paraId="0141B4DB" w14:textId="543AFF7F" w:rsidR="0050605E" w:rsidRDefault="0050605E" w:rsidP="009D7A23">
            <w:pPr>
              <w:pStyle w:val="Standard"/>
              <w:rPr>
                <w:rFonts w:ascii="Arial" w:hAnsi="Arial"/>
              </w:rPr>
            </w:pPr>
            <w:r>
              <w:rPr>
                <w:rFonts w:ascii="Arial" w:hAnsi="Arial"/>
              </w:rPr>
              <w:t>ToR – respond to Ofwat</w:t>
            </w:r>
          </w:p>
        </w:tc>
        <w:tc>
          <w:tcPr>
            <w:tcW w:w="1560" w:type="dxa"/>
          </w:tcPr>
          <w:p w14:paraId="50C3EC08" w14:textId="250F81FB" w:rsidR="0050605E" w:rsidRDefault="0050605E" w:rsidP="009D7A23">
            <w:pPr>
              <w:pStyle w:val="Standard"/>
              <w:rPr>
                <w:rFonts w:ascii="Arial" w:hAnsi="Arial"/>
              </w:rPr>
            </w:pPr>
            <w:r>
              <w:rPr>
                <w:rFonts w:ascii="Arial" w:hAnsi="Arial"/>
              </w:rPr>
              <w:t>KR</w:t>
            </w:r>
          </w:p>
        </w:tc>
        <w:tc>
          <w:tcPr>
            <w:tcW w:w="1695" w:type="dxa"/>
          </w:tcPr>
          <w:p w14:paraId="0742CAC6" w14:textId="0FF81882" w:rsidR="0050605E" w:rsidRDefault="0050605E" w:rsidP="009D7A23">
            <w:pPr>
              <w:pStyle w:val="Standard"/>
              <w:rPr>
                <w:rFonts w:ascii="Arial" w:hAnsi="Arial"/>
              </w:rPr>
            </w:pPr>
            <w:r>
              <w:rPr>
                <w:rFonts w:ascii="Arial" w:hAnsi="Arial"/>
              </w:rPr>
              <w:t>01/12/22</w:t>
            </w:r>
          </w:p>
        </w:tc>
        <w:tc>
          <w:tcPr>
            <w:tcW w:w="1374" w:type="dxa"/>
          </w:tcPr>
          <w:p w14:paraId="2869C108" w14:textId="77777777" w:rsidR="0050605E" w:rsidRDefault="0050605E" w:rsidP="009D7A23">
            <w:pPr>
              <w:pStyle w:val="Standard"/>
              <w:rPr>
                <w:rFonts w:ascii="Arial" w:hAnsi="Arial"/>
              </w:rPr>
            </w:pPr>
          </w:p>
        </w:tc>
      </w:tr>
      <w:tr w:rsidR="0050605E" w:rsidRPr="00D67136" w14:paraId="5802D00A" w14:textId="77777777" w:rsidTr="009D7A23">
        <w:tc>
          <w:tcPr>
            <w:tcW w:w="1271" w:type="dxa"/>
            <w:vMerge/>
          </w:tcPr>
          <w:p w14:paraId="05188811" w14:textId="77777777" w:rsidR="0050605E" w:rsidRDefault="0050605E" w:rsidP="009D7A23">
            <w:pPr>
              <w:rPr>
                <w:rFonts w:ascii="Arial" w:hAnsi="Arial"/>
              </w:rPr>
            </w:pPr>
          </w:p>
        </w:tc>
        <w:tc>
          <w:tcPr>
            <w:tcW w:w="3730" w:type="dxa"/>
          </w:tcPr>
          <w:p w14:paraId="19289765" w14:textId="4CEF6171" w:rsidR="0050605E" w:rsidRDefault="0050605E" w:rsidP="009D7A23">
            <w:pPr>
              <w:pStyle w:val="Standard"/>
              <w:rPr>
                <w:rFonts w:ascii="Arial" w:hAnsi="Arial"/>
              </w:rPr>
            </w:pPr>
            <w:r>
              <w:rPr>
                <w:rFonts w:ascii="Arial" w:hAnsi="Arial"/>
              </w:rPr>
              <w:t>FWC proposal – draft wording</w:t>
            </w:r>
          </w:p>
        </w:tc>
        <w:tc>
          <w:tcPr>
            <w:tcW w:w="1560" w:type="dxa"/>
          </w:tcPr>
          <w:p w14:paraId="4544BF67" w14:textId="25B3B14A" w:rsidR="0050605E" w:rsidRDefault="0050605E" w:rsidP="009D7A23">
            <w:pPr>
              <w:pStyle w:val="Standard"/>
              <w:rPr>
                <w:rFonts w:ascii="Arial" w:hAnsi="Arial"/>
              </w:rPr>
            </w:pPr>
            <w:r>
              <w:rPr>
                <w:rFonts w:ascii="Arial" w:hAnsi="Arial"/>
              </w:rPr>
              <w:t>GM</w:t>
            </w:r>
          </w:p>
        </w:tc>
        <w:tc>
          <w:tcPr>
            <w:tcW w:w="1695" w:type="dxa"/>
          </w:tcPr>
          <w:p w14:paraId="796FB7B8" w14:textId="6652DED8" w:rsidR="0050605E" w:rsidRDefault="0050605E" w:rsidP="009D7A23">
            <w:pPr>
              <w:pStyle w:val="Standard"/>
              <w:rPr>
                <w:rFonts w:ascii="Arial" w:hAnsi="Arial"/>
              </w:rPr>
            </w:pPr>
            <w:r>
              <w:rPr>
                <w:rFonts w:ascii="Arial" w:hAnsi="Arial"/>
              </w:rPr>
              <w:t>01/12/22</w:t>
            </w:r>
          </w:p>
        </w:tc>
        <w:tc>
          <w:tcPr>
            <w:tcW w:w="1374" w:type="dxa"/>
          </w:tcPr>
          <w:p w14:paraId="4DE7FDDC" w14:textId="77777777" w:rsidR="0050605E" w:rsidRDefault="0050605E" w:rsidP="009D7A23">
            <w:pPr>
              <w:pStyle w:val="Standard"/>
              <w:rPr>
                <w:rFonts w:ascii="Arial" w:hAnsi="Arial"/>
              </w:rPr>
            </w:pPr>
          </w:p>
        </w:tc>
      </w:tr>
      <w:tr w:rsidR="0050605E" w:rsidRPr="00D67136" w14:paraId="7D1FF04C" w14:textId="77777777" w:rsidTr="009D7A23">
        <w:tc>
          <w:tcPr>
            <w:tcW w:w="1271" w:type="dxa"/>
            <w:vMerge/>
          </w:tcPr>
          <w:p w14:paraId="0CBB6536" w14:textId="77777777" w:rsidR="0050605E" w:rsidRDefault="0050605E" w:rsidP="009D7A23">
            <w:pPr>
              <w:rPr>
                <w:rFonts w:ascii="Arial" w:hAnsi="Arial"/>
              </w:rPr>
            </w:pPr>
          </w:p>
        </w:tc>
        <w:tc>
          <w:tcPr>
            <w:tcW w:w="3730" w:type="dxa"/>
          </w:tcPr>
          <w:p w14:paraId="0C266F82" w14:textId="089FDB7B" w:rsidR="0050605E" w:rsidRDefault="0050605E" w:rsidP="009D7A23">
            <w:pPr>
              <w:pStyle w:val="Standard"/>
              <w:rPr>
                <w:rFonts w:ascii="Arial" w:hAnsi="Arial"/>
              </w:rPr>
            </w:pPr>
            <w:r>
              <w:rPr>
                <w:rFonts w:ascii="Arial" w:hAnsi="Arial"/>
              </w:rPr>
              <w:t>FWC proposal – email FWC</w:t>
            </w:r>
          </w:p>
        </w:tc>
        <w:tc>
          <w:tcPr>
            <w:tcW w:w="1560" w:type="dxa"/>
          </w:tcPr>
          <w:p w14:paraId="39908C1E" w14:textId="432E8AB0" w:rsidR="0050605E" w:rsidRDefault="0050605E" w:rsidP="009D7A23">
            <w:pPr>
              <w:pStyle w:val="Standard"/>
              <w:rPr>
                <w:rFonts w:ascii="Arial" w:hAnsi="Arial"/>
              </w:rPr>
            </w:pPr>
            <w:r>
              <w:rPr>
                <w:rFonts w:ascii="Arial" w:hAnsi="Arial"/>
              </w:rPr>
              <w:t>KR</w:t>
            </w:r>
          </w:p>
        </w:tc>
        <w:tc>
          <w:tcPr>
            <w:tcW w:w="1695" w:type="dxa"/>
          </w:tcPr>
          <w:p w14:paraId="795C3615" w14:textId="2B4C0398" w:rsidR="0050605E" w:rsidRDefault="0050605E" w:rsidP="009D7A23">
            <w:pPr>
              <w:pStyle w:val="Standard"/>
              <w:rPr>
                <w:rFonts w:ascii="Arial" w:hAnsi="Arial"/>
              </w:rPr>
            </w:pPr>
            <w:r>
              <w:rPr>
                <w:rFonts w:ascii="Arial" w:hAnsi="Arial"/>
              </w:rPr>
              <w:t>10/12/22</w:t>
            </w:r>
          </w:p>
        </w:tc>
        <w:tc>
          <w:tcPr>
            <w:tcW w:w="1374" w:type="dxa"/>
          </w:tcPr>
          <w:p w14:paraId="6193C601" w14:textId="77777777" w:rsidR="0050605E" w:rsidRDefault="0050605E" w:rsidP="009D7A23">
            <w:pPr>
              <w:pStyle w:val="Standard"/>
              <w:rPr>
                <w:rFonts w:ascii="Arial" w:hAnsi="Arial"/>
              </w:rPr>
            </w:pPr>
          </w:p>
        </w:tc>
      </w:tr>
      <w:tr w:rsidR="0050605E" w:rsidRPr="00D67136" w14:paraId="58708CC9" w14:textId="77777777" w:rsidTr="009D7A23">
        <w:tc>
          <w:tcPr>
            <w:tcW w:w="1271" w:type="dxa"/>
            <w:vMerge/>
          </w:tcPr>
          <w:p w14:paraId="257EBEFB" w14:textId="77777777" w:rsidR="0050605E" w:rsidRDefault="0050605E" w:rsidP="009D7A23">
            <w:pPr>
              <w:rPr>
                <w:rFonts w:ascii="Arial" w:hAnsi="Arial"/>
              </w:rPr>
            </w:pPr>
          </w:p>
        </w:tc>
        <w:tc>
          <w:tcPr>
            <w:tcW w:w="3730" w:type="dxa"/>
          </w:tcPr>
          <w:p w14:paraId="0A716C9E" w14:textId="2EC000D9" w:rsidR="0050605E" w:rsidRDefault="0050605E" w:rsidP="009D7A23">
            <w:pPr>
              <w:pStyle w:val="Standard"/>
              <w:rPr>
                <w:rFonts w:ascii="Arial" w:hAnsi="Arial"/>
              </w:rPr>
            </w:pPr>
            <w:r>
              <w:rPr>
                <w:rFonts w:ascii="Arial" w:hAnsi="Arial"/>
              </w:rPr>
              <w:t>2023 Meetings – circulate dates</w:t>
            </w:r>
          </w:p>
        </w:tc>
        <w:tc>
          <w:tcPr>
            <w:tcW w:w="1560" w:type="dxa"/>
          </w:tcPr>
          <w:p w14:paraId="3C609D2D" w14:textId="2B4A3EAD" w:rsidR="0050605E" w:rsidRDefault="0050605E" w:rsidP="009D7A23">
            <w:pPr>
              <w:pStyle w:val="Standard"/>
              <w:rPr>
                <w:rFonts w:ascii="Arial" w:hAnsi="Arial"/>
              </w:rPr>
            </w:pPr>
            <w:r>
              <w:rPr>
                <w:rFonts w:ascii="Arial" w:hAnsi="Arial"/>
              </w:rPr>
              <w:t>KR</w:t>
            </w:r>
          </w:p>
        </w:tc>
        <w:tc>
          <w:tcPr>
            <w:tcW w:w="1695" w:type="dxa"/>
          </w:tcPr>
          <w:p w14:paraId="617A8E87" w14:textId="667870A6" w:rsidR="0050605E" w:rsidRDefault="0050605E" w:rsidP="009D7A23">
            <w:pPr>
              <w:pStyle w:val="Standard"/>
              <w:rPr>
                <w:rFonts w:ascii="Arial" w:hAnsi="Arial"/>
              </w:rPr>
            </w:pPr>
            <w:r>
              <w:rPr>
                <w:rFonts w:ascii="Arial" w:hAnsi="Arial"/>
              </w:rPr>
              <w:t>10/12/22</w:t>
            </w:r>
          </w:p>
        </w:tc>
        <w:tc>
          <w:tcPr>
            <w:tcW w:w="1374" w:type="dxa"/>
          </w:tcPr>
          <w:p w14:paraId="35BAC050" w14:textId="77777777" w:rsidR="0050605E" w:rsidRDefault="0050605E" w:rsidP="009D7A23">
            <w:pPr>
              <w:pStyle w:val="Standard"/>
              <w:rPr>
                <w:rFonts w:ascii="Arial" w:hAnsi="Arial"/>
              </w:rPr>
            </w:pPr>
          </w:p>
        </w:tc>
      </w:tr>
      <w:tr w:rsidR="0050605E" w:rsidRPr="00D67136" w14:paraId="18C7F855" w14:textId="77777777" w:rsidTr="009D7A23">
        <w:tc>
          <w:tcPr>
            <w:tcW w:w="1271" w:type="dxa"/>
            <w:vMerge/>
          </w:tcPr>
          <w:p w14:paraId="310211F0" w14:textId="77777777" w:rsidR="0050605E" w:rsidRDefault="0050605E" w:rsidP="009D7A23">
            <w:pPr>
              <w:rPr>
                <w:rFonts w:ascii="Arial" w:hAnsi="Arial"/>
              </w:rPr>
            </w:pPr>
          </w:p>
        </w:tc>
        <w:tc>
          <w:tcPr>
            <w:tcW w:w="3730" w:type="dxa"/>
          </w:tcPr>
          <w:p w14:paraId="3776EC58" w14:textId="2C970B6B" w:rsidR="0050605E" w:rsidRDefault="0050605E" w:rsidP="009D7A23">
            <w:pPr>
              <w:pStyle w:val="Standard"/>
              <w:rPr>
                <w:rFonts w:ascii="Arial" w:hAnsi="Arial"/>
              </w:rPr>
            </w:pPr>
            <w:r>
              <w:rPr>
                <w:rFonts w:ascii="Arial" w:hAnsi="Arial"/>
              </w:rPr>
              <w:t>WUK Firefighting Guidance – refer to Tech Sub-Group and WUK</w:t>
            </w:r>
          </w:p>
        </w:tc>
        <w:tc>
          <w:tcPr>
            <w:tcW w:w="1560" w:type="dxa"/>
          </w:tcPr>
          <w:p w14:paraId="6855C2BC" w14:textId="78DD554E" w:rsidR="0050605E" w:rsidRDefault="0050605E" w:rsidP="009D7A23">
            <w:pPr>
              <w:pStyle w:val="Standard"/>
              <w:rPr>
                <w:rFonts w:ascii="Arial" w:hAnsi="Arial"/>
              </w:rPr>
            </w:pPr>
            <w:r>
              <w:rPr>
                <w:rFonts w:ascii="Arial" w:hAnsi="Arial"/>
              </w:rPr>
              <w:t>KR</w:t>
            </w:r>
          </w:p>
        </w:tc>
        <w:tc>
          <w:tcPr>
            <w:tcW w:w="1695" w:type="dxa"/>
          </w:tcPr>
          <w:p w14:paraId="3D1C8D2D" w14:textId="334BE6D9" w:rsidR="0050605E" w:rsidRDefault="0050605E" w:rsidP="009D7A23">
            <w:pPr>
              <w:pStyle w:val="Standard"/>
              <w:rPr>
                <w:rFonts w:ascii="Arial" w:hAnsi="Arial"/>
              </w:rPr>
            </w:pPr>
            <w:r>
              <w:rPr>
                <w:rFonts w:ascii="Arial" w:hAnsi="Arial"/>
              </w:rPr>
              <w:t>30/11/22</w:t>
            </w:r>
          </w:p>
        </w:tc>
        <w:tc>
          <w:tcPr>
            <w:tcW w:w="1374" w:type="dxa"/>
          </w:tcPr>
          <w:p w14:paraId="0B60B9E3" w14:textId="6041BF28" w:rsidR="0050605E" w:rsidRDefault="00B354E9" w:rsidP="009D7A23">
            <w:pPr>
              <w:pStyle w:val="Standard"/>
              <w:rPr>
                <w:rFonts w:ascii="Arial" w:hAnsi="Arial"/>
              </w:rPr>
            </w:pPr>
            <w:r>
              <w:rPr>
                <w:rFonts w:ascii="Arial" w:hAnsi="Arial"/>
              </w:rPr>
              <w:t>Complete</w:t>
            </w:r>
          </w:p>
        </w:tc>
      </w:tr>
    </w:tbl>
    <w:p w14:paraId="7856D1D2" w14:textId="77777777" w:rsidR="004438D2" w:rsidRPr="00D67136" w:rsidRDefault="004438D2" w:rsidP="004438D2">
      <w:pPr>
        <w:pStyle w:val="Standard"/>
        <w:rPr>
          <w:rFonts w:ascii="Arial" w:hAnsi="Arial"/>
        </w:rPr>
      </w:pPr>
    </w:p>
    <w:p w14:paraId="77B5DC9B" w14:textId="77777777" w:rsidR="002578D3" w:rsidRDefault="002578D3">
      <w:pPr>
        <w:pStyle w:val="Standard"/>
        <w:rPr>
          <w:rFonts w:ascii="Arial" w:hAnsi="Arial"/>
          <w:b/>
          <w:bCs/>
        </w:rPr>
      </w:pPr>
    </w:p>
    <w:sectPr w:rsidR="002578D3">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AFBE" w14:textId="77777777" w:rsidR="00F237E2" w:rsidRDefault="00F237E2">
      <w:r>
        <w:separator/>
      </w:r>
    </w:p>
  </w:endnote>
  <w:endnote w:type="continuationSeparator" w:id="0">
    <w:p w14:paraId="7ACBE9E5" w14:textId="77777777" w:rsidR="00F237E2" w:rsidRDefault="00F2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545117"/>
      <w:docPartObj>
        <w:docPartGallery w:val="Page Numbers (Bottom of Page)"/>
        <w:docPartUnique/>
      </w:docPartObj>
    </w:sdtPr>
    <w:sdtEndPr>
      <w:rPr>
        <w:noProof/>
      </w:rPr>
    </w:sdtEndPr>
    <w:sdtContent>
      <w:p w14:paraId="6C6D9533" w14:textId="35172AAD" w:rsidR="0060469B" w:rsidRDefault="00604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971427" w14:textId="77777777" w:rsidR="0060469B" w:rsidRDefault="00604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1982" w14:textId="77777777" w:rsidR="00F237E2" w:rsidRDefault="00F237E2">
      <w:r>
        <w:rPr>
          <w:color w:val="000000"/>
        </w:rPr>
        <w:separator/>
      </w:r>
    </w:p>
  </w:footnote>
  <w:footnote w:type="continuationSeparator" w:id="0">
    <w:p w14:paraId="31082107" w14:textId="77777777" w:rsidR="00F237E2" w:rsidRDefault="00F23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555"/>
    <w:multiLevelType w:val="hybridMultilevel"/>
    <w:tmpl w:val="00D2C840"/>
    <w:lvl w:ilvl="0" w:tplc="08090001">
      <w:start w:val="1"/>
      <w:numFmt w:val="bullet"/>
      <w:lvlText w:val=""/>
      <w:lvlJc w:val="left"/>
      <w:pPr>
        <w:ind w:left="2539" w:hanging="360"/>
      </w:pPr>
      <w:rPr>
        <w:rFonts w:ascii="Symbol" w:hAnsi="Symbol" w:hint="default"/>
      </w:rPr>
    </w:lvl>
    <w:lvl w:ilvl="1" w:tplc="08090003" w:tentative="1">
      <w:start w:val="1"/>
      <w:numFmt w:val="bullet"/>
      <w:lvlText w:val="o"/>
      <w:lvlJc w:val="left"/>
      <w:pPr>
        <w:ind w:left="3259" w:hanging="360"/>
      </w:pPr>
      <w:rPr>
        <w:rFonts w:ascii="Courier New" w:hAnsi="Courier New" w:cs="Courier New" w:hint="default"/>
      </w:rPr>
    </w:lvl>
    <w:lvl w:ilvl="2" w:tplc="08090005" w:tentative="1">
      <w:start w:val="1"/>
      <w:numFmt w:val="bullet"/>
      <w:lvlText w:val=""/>
      <w:lvlJc w:val="left"/>
      <w:pPr>
        <w:ind w:left="3979" w:hanging="360"/>
      </w:pPr>
      <w:rPr>
        <w:rFonts w:ascii="Wingdings" w:hAnsi="Wingdings" w:hint="default"/>
      </w:rPr>
    </w:lvl>
    <w:lvl w:ilvl="3" w:tplc="08090001" w:tentative="1">
      <w:start w:val="1"/>
      <w:numFmt w:val="bullet"/>
      <w:lvlText w:val=""/>
      <w:lvlJc w:val="left"/>
      <w:pPr>
        <w:ind w:left="4699" w:hanging="360"/>
      </w:pPr>
      <w:rPr>
        <w:rFonts w:ascii="Symbol" w:hAnsi="Symbol" w:hint="default"/>
      </w:rPr>
    </w:lvl>
    <w:lvl w:ilvl="4" w:tplc="08090003" w:tentative="1">
      <w:start w:val="1"/>
      <w:numFmt w:val="bullet"/>
      <w:lvlText w:val="o"/>
      <w:lvlJc w:val="left"/>
      <w:pPr>
        <w:ind w:left="5419" w:hanging="360"/>
      </w:pPr>
      <w:rPr>
        <w:rFonts w:ascii="Courier New" w:hAnsi="Courier New" w:cs="Courier New" w:hint="default"/>
      </w:rPr>
    </w:lvl>
    <w:lvl w:ilvl="5" w:tplc="08090005" w:tentative="1">
      <w:start w:val="1"/>
      <w:numFmt w:val="bullet"/>
      <w:lvlText w:val=""/>
      <w:lvlJc w:val="left"/>
      <w:pPr>
        <w:ind w:left="6139" w:hanging="360"/>
      </w:pPr>
      <w:rPr>
        <w:rFonts w:ascii="Wingdings" w:hAnsi="Wingdings" w:hint="default"/>
      </w:rPr>
    </w:lvl>
    <w:lvl w:ilvl="6" w:tplc="08090001" w:tentative="1">
      <w:start w:val="1"/>
      <w:numFmt w:val="bullet"/>
      <w:lvlText w:val=""/>
      <w:lvlJc w:val="left"/>
      <w:pPr>
        <w:ind w:left="6859" w:hanging="360"/>
      </w:pPr>
      <w:rPr>
        <w:rFonts w:ascii="Symbol" w:hAnsi="Symbol" w:hint="default"/>
      </w:rPr>
    </w:lvl>
    <w:lvl w:ilvl="7" w:tplc="08090003" w:tentative="1">
      <w:start w:val="1"/>
      <w:numFmt w:val="bullet"/>
      <w:lvlText w:val="o"/>
      <w:lvlJc w:val="left"/>
      <w:pPr>
        <w:ind w:left="7579" w:hanging="360"/>
      </w:pPr>
      <w:rPr>
        <w:rFonts w:ascii="Courier New" w:hAnsi="Courier New" w:cs="Courier New" w:hint="default"/>
      </w:rPr>
    </w:lvl>
    <w:lvl w:ilvl="8" w:tplc="08090005" w:tentative="1">
      <w:start w:val="1"/>
      <w:numFmt w:val="bullet"/>
      <w:lvlText w:val=""/>
      <w:lvlJc w:val="left"/>
      <w:pPr>
        <w:ind w:left="8299" w:hanging="360"/>
      </w:pPr>
      <w:rPr>
        <w:rFonts w:ascii="Wingdings" w:hAnsi="Wingdings" w:hint="default"/>
      </w:rPr>
    </w:lvl>
  </w:abstractNum>
  <w:abstractNum w:abstractNumId="1" w15:restartNumberingAfterBreak="0">
    <w:nsid w:val="0C8E5C22"/>
    <w:multiLevelType w:val="hybridMultilevel"/>
    <w:tmpl w:val="952C42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F6CEE"/>
    <w:multiLevelType w:val="hybridMultilevel"/>
    <w:tmpl w:val="8B56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320E5"/>
    <w:multiLevelType w:val="hybridMultilevel"/>
    <w:tmpl w:val="0DBA13DE"/>
    <w:lvl w:ilvl="0" w:tplc="E62EF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F7B27"/>
    <w:multiLevelType w:val="hybridMultilevel"/>
    <w:tmpl w:val="D24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605DF"/>
    <w:multiLevelType w:val="hybridMultilevel"/>
    <w:tmpl w:val="45AA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56C71"/>
    <w:multiLevelType w:val="hybridMultilevel"/>
    <w:tmpl w:val="E92E0B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C2946"/>
    <w:multiLevelType w:val="hybridMultilevel"/>
    <w:tmpl w:val="F708ACEC"/>
    <w:lvl w:ilvl="0" w:tplc="8140D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B57311"/>
    <w:multiLevelType w:val="hybridMultilevel"/>
    <w:tmpl w:val="2AAEAF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8E7BB2"/>
    <w:multiLevelType w:val="hybridMultilevel"/>
    <w:tmpl w:val="98D4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003A4"/>
    <w:multiLevelType w:val="hybridMultilevel"/>
    <w:tmpl w:val="460A5D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60ACD"/>
    <w:multiLevelType w:val="hybridMultilevel"/>
    <w:tmpl w:val="FFF292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9C1103"/>
    <w:multiLevelType w:val="hybridMultilevel"/>
    <w:tmpl w:val="B1ACA15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3" w15:restartNumberingAfterBreak="0">
    <w:nsid w:val="6C6774F9"/>
    <w:multiLevelType w:val="hybridMultilevel"/>
    <w:tmpl w:val="C598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C3282B"/>
    <w:multiLevelType w:val="hybridMultilevel"/>
    <w:tmpl w:val="61DA44B4"/>
    <w:lvl w:ilvl="0" w:tplc="003E9B54">
      <w:start w:val="1"/>
      <w:numFmt w:val="decimal"/>
      <w:lvlText w:val="%1."/>
      <w:lvlJc w:val="left"/>
      <w:pPr>
        <w:ind w:left="720" w:hanging="360"/>
      </w:pPr>
    </w:lvl>
    <w:lvl w:ilvl="1" w:tplc="5CC68CF2">
      <w:start w:val="1"/>
      <w:numFmt w:val="lowerLetter"/>
      <w:lvlText w:val="%2."/>
      <w:lvlJc w:val="left"/>
      <w:pPr>
        <w:ind w:left="1440" w:hanging="360"/>
      </w:pPr>
    </w:lvl>
    <w:lvl w:ilvl="2" w:tplc="8BEE9F98">
      <w:start w:val="1"/>
      <w:numFmt w:val="lowerRoman"/>
      <w:lvlText w:val="%3."/>
      <w:lvlJc w:val="right"/>
      <w:pPr>
        <w:ind w:left="2160" w:hanging="180"/>
      </w:pPr>
    </w:lvl>
    <w:lvl w:ilvl="3" w:tplc="13142576">
      <w:start w:val="1"/>
      <w:numFmt w:val="decimal"/>
      <w:lvlText w:val="%4."/>
      <w:lvlJc w:val="left"/>
      <w:pPr>
        <w:ind w:left="2880" w:hanging="360"/>
      </w:pPr>
    </w:lvl>
    <w:lvl w:ilvl="4" w:tplc="8AE4BB9A">
      <w:start w:val="1"/>
      <w:numFmt w:val="lowerLetter"/>
      <w:lvlText w:val="%5."/>
      <w:lvlJc w:val="left"/>
      <w:pPr>
        <w:ind w:left="3600" w:hanging="360"/>
      </w:pPr>
    </w:lvl>
    <w:lvl w:ilvl="5" w:tplc="819812C4">
      <w:start w:val="1"/>
      <w:numFmt w:val="lowerRoman"/>
      <w:lvlText w:val="%6."/>
      <w:lvlJc w:val="right"/>
      <w:pPr>
        <w:ind w:left="4320" w:hanging="180"/>
      </w:pPr>
    </w:lvl>
    <w:lvl w:ilvl="6" w:tplc="6C10FA0A">
      <w:start w:val="1"/>
      <w:numFmt w:val="decimal"/>
      <w:lvlText w:val="%7."/>
      <w:lvlJc w:val="left"/>
      <w:pPr>
        <w:ind w:left="5040" w:hanging="360"/>
      </w:pPr>
    </w:lvl>
    <w:lvl w:ilvl="7" w:tplc="1CA67B34">
      <w:start w:val="1"/>
      <w:numFmt w:val="lowerLetter"/>
      <w:lvlText w:val="%8."/>
      <w:lvlJc w:val="left"/>
      <w:pPr>
        <w:ind w:left="5760" w:hanging="360"/>
      </w:pPr>
    </w:lvl>
    <w:lvl w:ilvl="8" w:tplc="F42A8C68">
      <w:start w:val="1"/>
      <w:numFmt w:val="lowerRoman"/>
      <w:lvlText w:val="%9."/>
      <w:lvlJc w:val="right"/>
      <w:pPr>
        <w:ind w:left="6480" w:hanging="180"/>
      </w:pPr>
    </w:lvl>
  </w:abstractNum>
  <w:num w:numId="1" w16cid:durableId="864372124">
    <w:abstractNumId w:val="4"/>
  </w:num>
  <w:num w:numId="2" w16cid:durableId="121048108">
    <w:abstractNumId w:val="0"/>
  </w:num>
  <w:num w:numId="3" w16cid:durableId="1518235413">
    <w:abstractNumId w:val="12"/>
  </w:num>
  <w:num w:numId="4" w16cid:durableId="1812599621">
    <w:abstractNumId w:val="14"/>
  </w:num>
  <w:num w:numId="5" w16cid:durableId="2099134945">
    <w:abstractNumId w:val="13"/>
  </w:num>
  <w:num w:numId="6" w16cid:durableId="1608999716">
    <w:abstractNumId w:val="1"/>
  </w:num>
  <w:num w:numId="7" w16cid:durableId="669135694">
    <w:abstractNumId w:val="10"/>
  </w:num>
  <w:num w:numId="8" w16cid:durableId="1934124026">
    <w:abstractNumId w:val="8"/>
  </w:num>
  <w:num w:numId="9" w16cid:durableId="1029991755">
    <w:abstractNumId w:val="6"/>
  </w:num>
  <w:num w:numId="10" w16cid:durableId="1829786995">
    <w:abstractNumId w:val="11"/>
  </w:num>
  <w:num w:numId="11" w16cid:durableId="448355768">
    <w:abstractNumId w:val="2"/>
  </w:num>
  <w:num w:numId="12" w16cid:durableId="1686790348">
    <w:abstractNumId w:val="5"/>
  </w:num>
  <w:num w:numId="13" w16cid:durableId="1187597962">
    <w:abstractNumId w:val="7"/>
  </w:num>
  <w:num w:numId="14" w16cid:durableId="96173961">
    <w:abstractNumId w:val="3"/>
  </w:num>
  <w:num w:numId="15" w16cid:durableId="1941715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D3"/>
    <w:rsid w:val="00003702"/>
    <w:rsid w:val="00004E1E"/>
    <w:rsid w:val="00010DC5"/>
    <w:rsid w:val="00010E54"/>
    <w:rsid w:val="0001189B"/>
    <w:rsid w:val="00012DE0"/>
    <w:rsid w:val="00014145"/>
    <w:rsid w:val="00015BAC"/>
    <w:rsid w:val="00020526"/>
    <w:rsid w:val="00021982"/>
    <w:rsid w:val="0002408B"/>
    <w:rsid w:val="00025C91"/>
    <w:rsid w:val="00026402"/>
    <w:rsid w:val="00026856"/>
    <w:rsid w:val="000313DE"/>
    <w:rsid w:val="000318B3"/>
    <w:rsid w:val="000332BA"/>
    <w:rsid w:val="00034057"/>
    <w:rsid w:val="000356F6"/>
    <w:rsid w:val="00035D78"/>
    <w:rsid w:val="00035E4D"/>
    <w:rsid w:val="0003709C"/>
    <w:rsid w:val="00044A45"/>
    <w:rsid w:val="00044C21"/>
    <w:rsid w:val="0004529A"/>
    <w:rsid w:val="000463D0"/>
    <w:rsid w:val="0005081A"/>
    <w:rsid w:val="00050CF9"/>
    <w:rsid w:val="0005167C"/>
    <w:rsid w:val="000547D2"/>
    <w:rsid w:val="000550AC"/>
    <w:rsid w:val="0005536B"/>
    <w:rsid w:val="00055554"/>
    <w:rsid w:val="00057528"/>
    <w:rsid w:val="00061E6F"/>
    <w:rsid w:val="00063EA6"/>
    <w:rsid w:val="00064716"/>
    <w:rsid w:val="000656E2"/>
    <w:rsid w:val="00065F91"/>
    <w:rsid w:val="00070864"/>
    <w:rsid w:val="00072058"/>
    <w:rsid w:val="000740EB"/>
    <w:rsid w:val="000741E5"/>
    <w:rsid w:val="00075E09"/>
    <w:rsid w:val="00077D8B"/>
    <w:rsid w:val="00083617"/>
    <w:rsid w:val="00083F37"/>
    <w:rsid w:val="00086A19"/>
    <w:rsid w:val="00087128"/>
    <w:rsid w:val="00087FBF"/>
    <w:rsid w:val="000904BC"/>
    <w:rsid w:val="000909AD"/>
    <w:rsid w:val="000914C6"/>
    <w:rsid w:val="00092B56"/>
    <w:rsid w:val="0009779A"/>
    <w:rsid w:val="000A10C9"/>
    <w:rsid w:val="000A1AB7"/>
    <w:rsid w:val="000A235A"/>
    <w:rsid w:val="000A27B3"/>
    <w:rsid w:val="000A3E73"/>
    <w:rsid w:val="000A5A8A"/>
    <w:rsid w:val="000B11F0"/>
    <w:rsid w:val="000B12E8"/>
    <w:rsid w:val="000B1A67"/>
    <w:rsid w:val="000B2CF8"/>
    <w:rsid w:val="000B3D6B"/>
    <w:rsid w:val="000B7C26"/>
    <w:rsid w:val="000C0617"/>
    <w:rsid w:val="000C3DAF"/>
    <w:rsid w:val="000C50B1"/>
    <w:rsid w:val="000C623F"/>
    <w:rsid w:val="000D0D4D"/>
    <w:rsid w:val="000D193F"/>
    <w:rsid w:val="000D5ADF"/>
    <w:rsid w:val="000D7157"/>
    <w:rsid w:val="000D76B3"/>
    <w:rsid w:val="000E0B8A"/>
    <w:rsid w:val="000E0FE6"/>
    <w:rsid w:val="000E2A3B"/>
    <w:rsid w:val="000E31F5"/>
    <w:rsid w:val="000E418A"/>
    <w:rsid w:val="000E474C"/>
    <w:rsid w:val="000E5E37"/>
    <w:rsid w:val="000F2664"/>
    <w:rsid w:val="000F369F"/>
    <w:rsid w:val="000F4E64"/>
    <w:rsid w:val="000F7807"/>
    <w:rsid w:val="00103500"/>
    <w:rsid w:val="00103AE1"/>
    <w:rsid w:val="0010656B"/>
    <w:rsid w:val="00107243"/>
    <w:rsid w:val="001130EF"/>
    <w:rsid w:val="00116148"/>
    <w:rsid w:val="001162B2"/>
    <w:rsid w:val="00116B76"/>
    <w:rsid w:val="00116E01"/>
    <w:rsid w:val="0012039C"/>
    <w:rsid w:val="001207F1"/>
    <w:rsid w:val="00120B1A"/>
    <w:rsid w:val="00121703"/>
    <w:rsid w:val="00121DD3"/>
    <w:rsid w:val="0012262E"/>
    <w:rsid w:val="001226F3"/>
    <w:rsid w:val="001240CE"/>
    <w:rsid w:val="001301CE"/>
    <w:rsid w:val="00131326"/>
    <w:rsid w:val="00133148"/>
    <w:rsid w:val="00133CA9"/>
    <w:rsid w:val="001354E3"/>
    <w:rsid w:val="001406BF"/>
    <w:rsid w:val="001421F1"/>
    <w:rsid w:val="001429A1"/>
    <w:rsid w:val="00142AEB"/>
    <w:rsid w:val="00142AF0"/>
    <w:rsid w:val="00146962"/>
    <w:rsid w:val="001502C3"/>
    <w:rsid w:val="00155373"/>
    <w:rsid w:val="00156324"/>
    <w:rsid w:val="00156571"/>
    <w:rsid w:val="00156C9A"/>
    <w:rsid w:val="001603D8"/>
    <w:rsid w:val="001611DD"/>
    <w:rsid w:val="0016273D"/>
    <w:rsid w:val="00163F8D"/>
    <w:rsid w:val="001647CD"/>
    <w:rsid w:val="00165395"/>
    <w:rsid w:val="00165FF8"/>
    <w:rsid w:val="00166EF3"/>
    <w:rsid w:val="001702B4"/>
    <w:rsid w:val="001711B0"/>
    <w:rsid w:val="00171465"/>
    <w:rsid w:val="001715A2"/>
    <w:rsid w:val="00173E0B"/>
    <w:rsid w:val="00180095"/>
    <w:rsid w:val="001804F6"/>
    <w:rsid w:val="001815E6"/>
    <w:rsid w:val="00182132"/>
    <w:rsid w:val="00182E30"/>
    <w:rsid w:val="00183A43"/>
    <w:rsid w:val="00185B11"/>
    <w:rsid w:val="00185E5C"/>
    <w:rsid w:val="00186EFD"/>
    <w:rsid w:val="00186FB1"/>
    <w:rsid w:val="00187E50"/>
    <w:rsid w:val="00194DC8"/>
    <w:rsid w:val="00196713"/>
    <w:rsid w:val="001A07B1"/>
    <w:rsid w:val="001A1413"/>
    <w:rsid w:val="001A2C02"/>
    <w:rsid w:val="001A32C9"/>
    <w:rsid w:val="001A3604"/>
    <w:rsid w:val="001A4629"/>
    <w:rsid w:val="001A4BD1"/>
    <w:rsid w:val="001A52D6"/>
    <w:rsid w:val="001A5EF5"/>
    <w:rsid w:val="001A6D74"/>
    <w:rsid w:val="001B20F2"/>
    <w:rsid w:val="001C1CE9"/>
    <w:rsid w:val="001C3217"/>
    <w:rsid w:val="001C401D"/>
    <w:rsid w:val="001C6A3D"/>
    <w:rsid w:val="001D1716"/>
    <w:rsid w:val="001D48D9"/>
    <w:rsid w:val="001E328D"/>
    <w:rsid w:val="001E49C8"/>
    <w:rsid w:val="001E4CEF"/>
    <w:rsid w:val="001E5F24"/>
    <w:rsid w:val="001E6B65"/>
    <w:rsid w:val="001F1D63"/>
    <w:rsid w:val="001F6270"/>
    <w:rsid w:val="001F64C9"/>
    <w:rsid w:val="00200AAC"/>
    <w:rsid w:val="00206832"/>
    <w:rsid w:val="002106CB"/>
    <w:rsid w:val="002125AE"/>
    <w:rsid w:val="00214832"/>
    <w:rsid w:val="00217446"/>
    <w:rsid w:val="00217943"/>
    <w:rsid w:val="00222AA2"/>
    <w:rsid w:val="00224ED4"/>
    <w:rsid w:val="00230990"/>
    <w:rsid w:val="00232A3C"/>
    <w:rsid w:val="00234281"/>
    <w:rsid w:val="00234ADC"/>
    <w:rsid w:val="002408EB"/>
    <w:rsid w:val="00242ADE"/>
    <w:rsid w:val="00243A2D"/>
    <w:rsid w:val="00246DC6"/>
    <w:rsid w:val="002506FE"/>
    <w:rsid w:val="00251FA9"/>
    <w:rsid w:val="00253B65"/>
    <w:rsid w:val="00254CFC"/>
    <w:rsid w:val="00256600"/>
    <w:rsid w:val="002578D3"/>
    <w:rsid w:val="00257D69"/>
    <w:rsid w:val="00263255"/>
    <w:rsid w:val="00263BA9"/>
    <w:rsid w:val="00264C9C"/>
    <w:rsid w:val="00271888"/>
    <w:rsid w:val="002735E0"/>
    <w:rsid w:val="00274900"/>
    <w:rsid w:val="002767DE"/>
    <w:rsid w:val="002802FA"/>
    <w:rsid w:val="00280861"/>
    <w:rsid w:val="002829B9"/>
    <w:rsid w:val="00283079"/>
    <w:rsid w:val="0028499B"/>
    <w:rsid w:val="00286012"/>
    <w:rsid w:val="00291C85"/>
    <w:rsid w:val="00292D87"/>
    <w:rsid w:val="00294040"/>
    <w:rsid w:val="00295FD9"/>
    <w:rsid w:val="00297A39"/>
    <w:rsid w:val="002A0E95"/>
    <w:rsid w:val="002A15E9"/>
    <w:rsid w:val="002A1A33"/>
    <w:rsid w:val="002A21FA"/>
    <w:rsid w:val="002A2618"/>
    <w:rsid w:val="002A2637"/>
    <w:rsid w:val="002A31DA"/>
    <w:rsid w:val="002A4415"/>
    <w:rsid w:val="002A4FB7"/>
    <w:rsid w:val="002A600F"/>
    <w:rsid w:val="002A73AB"/>
    <w:rsid w:val="002A7418"/>
    <w:rsid w:val="002A7DC7"/>
    <w:rsid w:val="002A7E37"/>
    <w:rsid w:val="002B088F"/>
    <w:rsid w:val="002B6245"/>
    <w:rsid w:val="002C146F"/>
    <w:rsid w:val="002C1CE3"/>
    <w:rsid w:val="002C3687"/>
    <w:rsid w:val="002C46B0"/>
    <w:rsid w:val="002C53F7"/>
    <w:rsid w:val="002C7A89"/>
    <w:rsid w:val="002C7E74"/>
    <w:rsid w:val="002D0658"/>
    <w:rsid w:val="002D37CD"/>
    <w:rsid w:val="002D46E2"/>
    <w:rsid w:val="002D5223"/>
    <w:rsid w:val="002D656A"/>
    <w:rsid w:val="002D6BD2"/>
    <w:rsid w:val="002D6FB7"/>
    <w:rsid w:val="002E2C10"/>
    <w:rsid w:val="002E4895"/>
    <w:rsid w:val="002E4F39"/>
    <w:rsid w:val="002E6F2F"/>
    <w:rsid w:val="002F660D"/>
    <w:rsid w:val="002F67D3"/>
    <w:rsid w:val="00300818"/>
    <w:rsid w:val="00302490"/>
    <w:rsid w:val="00302D7A"/>
    <w:rsid w:val="00303697"/>
    <w:rsid w:val="0030395B"/>
    <w:rsid w:val="00303B8A"/>
    <w:rsid w:val="00304121"/>
    <w:rsid w:val="003052FB"/>
    <w:rsid w:val="00310F52"/>
    <w:rsid w:val="00314CDC"/>
    <w:rsid w:val="00315467"/>
    <w:rsid w:val="00316740"/>
    <w:rsid w:val="00316C66"/>
    <w:rsid w:val="00317313"/>
    <w:rsid w:val="00317BA2"/>
    <w:rsid w:val="0032188B"/>
    <w:rsid w:val="00325DFE"/>
    <w:rsid w:val="00331859"/>
    <w:rsid w:val="003319EE"/>
    <w:rsid w:val="00332E03"/>
    <w:rsid w:val="00333BE3"/>
    <w:rsid w:val="0033425C"/>
    <w:rsid w:val="003343B3"/>
    <w:rsid w:val="003353F8"/>
    <w:rsid w:val="00336919"/>
    <w:rsid w:val="003378C6"/>
    <w:rsid w:val="0034115E"/>
    <w:rsid w:val="00345770"/>
    <w:rsid w:val="00351474"/>
    <w:rsid w:val="0035149E"/>
    <w:rsid w:val="00360DE4"/>
    <w:rsid w:val="00361301"/>
    <w:rsid w:val="0036187C"/>
    <w:rsid w:val="003622BF"/>
    <w:rsid w:val="00363F68"/>
    <w:rsid w:val="003714DA"/>
    <w:rsid w:val="00373490"/>
    <w:rsid w:val="00374A48"/>
    <w:rsid w:val="00376E25"/>
    <w:rsid w:val="003778FF"/>
    <w:rsid w:val="003824BB"/>
    <w:rsid w:val="00382773"/>
    <w:rsid w:val="00382B68"/>
    <w:rsid w:val="00386197"/>
    <w:rsid w:val="00390162"/>
    <w:rsid w:val="00391190"/>
    <w:rsid w:val="00395673"/>
    <w:rsid w:val="003978EE"/>
    <w:rsid w:val="003A09F3"/>
    <w:rsid w:val="003B0A74"/>
    <w:rsid w:val="003B183D"/>
    <w:rsid w:val="003B201A"/>
    <w:rsid w:val="003B3A03"/>
    <w:rsid w:val="003B60F2"/>
    <w:rsid w:val="003C2397"/>
    <w:rsid w:val="003C25E4"/>
    <w:rsid w:val="003C3FD0"/>
    <w:rsid w:val="003C4B56"/>
    <w:rsid w:val="003C4B9A"/>
    <w:rsid w:val="003C72DC"/>
    <w:rsid w:val="003D01BE"/>
    <w:rsid w:val="003D0BEB"/>
    <w:rsid w:val="003D0C6B"/>
    <w:rsid w:val="003D36EA"/>
    <w:rsid w:val="003D54C3"/>
    <w:rsid w:val="003D6ADB"/>
    <w:rsid w:val="003D7F39"/>
    <w:rsid w:val="003E0452"/>
    <w:rsid w:val="003E1F77"/>
    <w:rsid w:val="003E299C"/>
    <w:rsid w:val="003E2FB8"/>
    <w:rsid w:val="003E504F"/>
    <w:rsid w:val="003E56A5"/>
    <w:rsid w:val="003F07DB"/>
    <w:rsid w:val="003F1FB1"/>
    <w:rsid w:val="003F29A1"/>
    <w:rsid w:val="003F3DD4"/>
    <w:rsid w:val="003F4D07"/>
    <w:rsid w:val="003F53C7"/>
    <w:rsid w:val="003F7928"/>
    <w:rsid w:val="00402866"/>
    <w:rsid w:val="0040297D"/>
    <w:rsid w:val="004041D6"/>
    <w:rsid w:val="0040456C"/>
    <w:rsid w:val="004068E9"/>
    <w:rsid w:val="00407F13"/>
    <w:rsid w:val="00411160"/>
    <w:rsid w:val="00411D91"/>
    <w:rsid w:val="00413ACC"/>
    <w:rsid w:val="00422470"/>
    <w:rsid w:val="00424B99"/>
    <w:rsid w:val="00431544"/>
    <w:rsid w:val="00431C25"/>
    <w:rsid w:val="00433B3C"/>
    <w:rsid w:val="0043613B"/>
    <w:rsid w:val="00436C27"/>
    <w:rsid w:val="004373CA"/>
    <w:rsid w:val="004438D2"/>
    <w:rsid w:val="0044468E"/>
    <w:rsid w:val="004469A4"/>
    <w:rsid w:val="004474DA"/>
    <w:rsid w:val="00447AEB"/>
    <w:rsid w:val="00447B08"/>
    <w:rsid w:val="00447C73"/>
    <w:rsid w:val="004509C8"/>
    <w:rsid w:val="00453263"/>
    <w:rsid w:val="00453DB6"/>
    <w:rsid w:val="00453E29"/>
    <w:rsid w:val="00456018"/>
    <w:rsid w:val="00456A51"/>
    <w:rsid w:val="004606B1"/>
    <w:rsid w:val="0046345F"/>
    <w:rsid w:val="004634BB"/>
    <w:rsid w:val="004659AE"/>
    <w:rsid w:val="00465C21"/>
    <w:rsid w:val="0046737F"/>
    <w:rsid w:val="004704B7"/>
    <w:rsid w:val="00470CB5"/>
    <w:rsid w:val="00476CBE"/>
    <w:rsid w:val="00476E03"/>
    <w:rsid w:val="00477838"/>
    <w:rsid w:val="0048118A"/>
    <w:rsid w:val="00483D2D"/>
    <w:rsid w:val="0048468F"/>
    <w:rsid w:val="00485D83"/>
    <w:rsid w:val="00487044"/>
    <w:rsid w:val="00490FED"/>
    <w:rsid w:val="004929FC"/>
    <w:rsid w:val="004975DD"/>
    <w:rsid w:val="004A042F"/>
    <w:rsid w:val="004A0BB5"/>
    <w:rsid w:val="004A25C1"/>
    <w:rsid w:val="004A307F"/>
    <w:rsid w:val="004A4158"/>
    <w:rsid w:val="004A4922"/>
    <w:rsid w:val="004A64D2"/>
    <w:rsid w:val="004A65BE"/>
    <w:rsid w:val="004A6F68"/>
    <w:rsid w:val="004B4371"/>
    <w:rsid w:val="004C130D"/>
    <w:rsid w:val="004C29E6"/>
    <w:rsid w:val="004C3597"/>
    <w:rsid w:val="004C5C02"/>
    <w:rsid w:val="004C5DC0"/>
    <w:rsid w:val="004D1166"/>
    <w:rsid w:val="004D1B38"/>
    <w:rsid w:val="004D708D"/>
    <w:rsid w:val="004D70CE"/>
    <w:rsid w:val="004E1448"/>
    <w:rsid w:val="004F2486"/>
    <w:rsid w:val="004F4CF9"/>
    <w:rsid w:val="004F7104"/>
    <w:rsid w:val="004F7D16"/>
    <w:rsid w:val="00500456"/>
    <w:rsid w:val="00504291"/>
    <w:rsid w:val="00504F61"/>
    <w:rsid w:val="00505AB9"/>
    <w:rsid w:val="00505E15"/>
    <w:rsid w:val="0050605E"/>
    <w:rsid w:val="005103AB"/>
    <w:rsid w:val="00510B3F"/>
    <w:rsid w:val="005129F2"/>
    <w:rsid w:val="00513050"/>
    <w:rsid w:val="0052124A"/>
    <w:rsid w:val="00523DA9"/>
    <w:rsid w:val="005249C0"/>
    <w:rsid w:val="00525E9B"/>
    <w:rsid w:val="00525F1F"/>
    <w:rsid w:val="005363B5"/>
    <w:rsid w:val="00537F13"/>
    <w:rsid w:val="00540B9B"/>
    <w:rsid w:val="00540DD6"/>
    <w:rsid w:val="00541F97"/>
    <w:rsid w:val="00544228"/>
    <w:rsid w:val="00544680"/>
    <w:rsid w:val="005460DE"/>
    <w:rsid w:val="00546CEE"/>
    <w:rsid w:val="00546EBC"/>
    <w:rsid w:val="0055115E"/>
    <w:rsid w:val="005513C9"/>
    <w:rsid w:val="00552089"/>
    <w:rsid w:val="00553C8F"/>
    <w:rsid w:val="00555E29"/>
    <w:rsid w:val="00561812"/>
    <w:rsid w:val="00564AC3"/>
    <w:rsid w:val="00565161"/>
    <w:rsid w:val="005656CA"/>
    <w:rsid w:val="005660BD"/>
    <w:rsid w:val="00570344"/>
    <w:rsid w:val="0057472D"/>
    <w:rsid w:val="0057592B"/>
    <w:rsid w:val="00581427"/>
    <w:rsid w:val="0058375F"/>
    <w:rsid w:val="0058626D"/>
    <w:rsid w:val="0058705A"/>
    <w:rsid w:val="00595139"/>
    <w:rsid w:val="00595C29"/>
    <w:rsid w:val="00595E6C"/>
    <w:rsid w:val="005970E7"/>
    <w:rsid w:val="00597125"/>
    <w:rsid w:val="00597B81"/>
    <w:rsid w:val="005A4897"/>
    <w:rsid w:val="005A48C3"/>
    <w:rsid w:val="005A5828"/>
    <w:rsid w:val="005A793A"/>
    <w:rsid w:val="005B27D8"/>
    <w:rsid w:val="005B6915"/>
    <w:rsid w:val="005B703E"/>
    <w:rsid w:val="005B73B5"/>
    <w:rsid w:val="005B7B20"/>
    <w:rsid w:val="005C231D"/>
    <w:rsid w:val="005C454F"/>
    <w:rsid w:val="005C566B"/>
    <w:rsid w:val="005C7082"/>
    <w:rsid w:val="005D0D3E"/>
    <w:rsid w:val="005D468D"/>
    <w:rsid w:val="005D65EF"/>
    <w:rsid w:val="005D6E09"/>
    <w:rsid w:val="005D6E99"/>
    <w:rsid w:val="005D7494"/>
    <w:rsid w:val="005E3056"/>
    <w:rsid w:val="005E7456"/>
    <w:rsid w:val="005E7A8D"/>
    <w:rsid w:val="005F3437"/>
    <w:rsid w:val="005F4BF5"/>
    <w:rsid w:val="005F5178"/>
    <w:rsid w:val="005F681A"/>
    <w:rsid w:val="006003AC"/>
    <w:rsid w:val="00602A3B"/>
    <w:rsid w:val="00604466"/>
    <w:rsid w:val="00604666"/>
    <w:rsid w:val="00604694"/>
    <w:rsid w:val="0060469B"/>
    <w:rsid w:val="00612663"/>
    <w:rsid w:val="00612C1B"/>
    <w:rsid w:val="00617CAF"/>
    <w:rsid w:val="00622375"/>
    <w:rsid w:val="006248BD"/>
    <w:rsid w:val="0062528E"/>
    <w:rsid w:val="00631016"/>
    <w:rsid w:val="00631E08"/>
    <w:rsid w:val="00632C36"/>
    <w:rsid w:val="00635C81"/>
    <w:rsid w:val="0063626A"/>
    <w:rsid w:val="006403FD"/>
    <w:rsid w:val="00641FEC"/>
    <w:rsid w:val="00643142"/>
    <w:rsid w:val="0064478F"/>
    <w:rsid w:val="00645DFD"/>
    <w:rsid w:val="006468C8"/>
    <w:rsid w:val="0065136E"/>
    <w:rsid w:val="00651E4F"/>
    <w:rsid w:val="00654173"/>
    <w:rsid w:val="00654F12"/>
    <w:rsid w:val="00654F6A"/>
    <w:rsid w:val="00655C7E"/>
    <w:rsid w:val="00656612"/>
    <w:rsid w:val="00663894"/>
    <w:rsid w:val="0066470D"/>
    <w:rsid w:val="00665083"/>
    <w:rsid w:val="006664F3"/>
    <w:rsid w:val="00666E1E"/>
    <w:rsid w:val="00667DA1"/>
    <w:rsid w:val="006705EC"/>
    <w:rsid w:val="00675FDC"/>
    <w:rsid w:val="00676E51"/>
    <w:rsid w:val="00677925"/>
    <w:rsid w:val="00680A93"/>
    <w:rsid w:val="00681C06"/>
    <w:rsid w:val="00681F16"/>
    <w:rsid w:val="00682B19"/>
    <w:rsid w:val="00683AA0"/>
    <w:rsid w:val="00684ADF"/>
    <w:rsid w:val="006870AB"/>
    <w:rsid w:val="00692468"/>
    <w:rsid w:val="006930B5"/>
    <w:rsid w:val="0069472B"/>
    <w:rsid w:val="00694BFC"/>
    <w:rsid w:val="006969FC"/>
    <w:rsid w:val="006A02CF"/>
    <w:rsid w:val="006A6536"/>
    <w:rsid w:val="006B152C"/>
    <w:rsid w:val="006B1CD6"/>
    <w:rsid w:val="006B1DAB"/>
    <w:rsid w:val="006B1DE4"/>
    <w:rsid w:val="006B2FAC"/>
    <w:rsid w:val="006B47CC"/>
    <w:rsid w:val="006B52AD"/>
    <w:rsid w:val="006B6A55"/>
    <w:rsid w:val="006B6C3C"/>
    <w:rsid w:val="006C2BCE"/>
    <w:rsid w:val="006C2FFC"/>
    <w:rsid w:val="006C3773"/>
    <w:rsid w:val="006C436D"/>
    <w:rsid w:val="006C4758"/>
    <w:rsid w:val="006C4FE0"/>
    <w:rsid w:val="006D049F"/>
    <w:rsid w:val="006D1BF6"/>
    <w:rsid w:val="006D2E8E"/>
    <w:rsid w:val="006D2F96"/>
    <w:rsid w:val="006D302C"/>
    <w:rsid w:val="006D32A9"/>
    <w:rsid w:val="006D3B52"/>
    <w:rsid w:val="006D50E3"/>
    <w:rsid w:val="006D6ABB"/>
    <w:rsid w:val="006D726B"/>
    <w:rsid w:val="006D73E0"/>
    <w:rsid w:val="006E0A9D"/>
    <w:rsid w:val="006E0D3F"/>
    <w:rsid w:val="006E2C5A"/>
    <w:rsid w:val="006E553B"/>
    <w:rsid w:val="006F1083"/>
    <w:rsid w:val="006F394B"/>
    <w:rsid w:val="006F3A2B"/>
    <w:rsid w:val="006F3C9E"/>
    <w:rsid w:val="006F6053"/>
    <w:rsid w:val="006F799B"/>
    <w:rsid w:val="007011F4"/>
    <w:rsid w:val="00707FAD"/>
    <w:rsid w:val="00711C59"/>
    <w:rsid w:val="00712A28"/>
    <w:rsid w:val="00713240"/>
    <w:rsid w:val="00713468"/>
    <w:rsid w:val="0071518E"/>
    <w:rsid w:val="00715836"/>
    <w:rsid w:val="00716253"/>
    <w:rsid w:val="00720AA1"/>
    <w:rsid w:val="00720CBB"/>
    <w:rsid w:val="00721E8F"/>
    <w:rsid w:val="00725345"/>
    <w:rsid w:val="0072587F"/>
    <w:rsid w:val="007304F3"/>
    <w:rsid w:val="00730EFA"/>
    <w:rsid w:val="007338EA"/>
    <w:rsid w:val="0073391C"/>
    <w:rsid w:val="00733F43"/>
    <w:rsid w:val="0073557F"/>
    <w:rsid w:val="007379C1"/>
    <w:rsid w:val="00740964"/>
    <w:rsid w:val="0074260E"/>
    <w:rsid w:val="00743F46"/>
    <w:rsid w:val="007449BD"/>
    <w:rsid w:val="0074784D"/>
    <w:rsid w:val="007543EC"/>
    <w:rsid w:val="00756094"/>
    <w:rsid w:val="0076070E"/>
    <w:rsid w:val="00760977"/>
    <w:rsid w:val="007612C0"/>
    <w:rsid w:val="00761787"/>
    <w:rsid w:val="00762B96"/>
    <w:rsid w:val="00763097"/>
    <w:rsid w:val="00763B21"/>
    <w:rsid w:val="00766CA2"/>
    <w:rsid w:val="00770E9D"/>
    <w:rsid w:val="007710F8"/>
    <w:rsid w:val="00773DC4"/>
    <w:rsid w:val="007740E7"/>
    <w:rsid w:val="00774A89"/>
    <w:rsid w:val="00774CB2"/>
    <w:rsid w:val="0077512E"/>
    <w:rsid w:val="00781D65"/>
    <w:rsid w:val="007851AE"/>
    <w:rsid w:val="0078650A"/>
    <w:rsid w:val="00786948"/>
    <w:rsid w:val="00786DA4"/>
    <w:rsid w:val="00792663"/>
    <w:rsid w:val="007974E8"/>
    <w:rsid w:val="007A0B85"/>
    <w:rsid w:val="007A11B6"/>
    <w:rsid w:val="007A4518"/>
    <w:rsid w:val="007A66BB"/>
    <w:rsid w:val="007A688E"/>
    <w:rsid w:val="007A74FC"/>
    <w:rsid w:val="007B3956"/>
    <w:rsid w:val="007B4245"/>
    <w:rsid w:val="007B51D3"/>
    <w:rsid w:val="007B52D1"/>
    <w:rsid w:val="007B65BF"/>
    <w:rsid w:val="007C1D87"/>
    <w:rsid w:val="007C39A0"/>
    <w:rsid w:val="007C3FD7"/>
    <w:rsid w:val="007C65AD"/>
    <w:rsid w:val="007D08F7"/>
    <w:rsid w:val="007D247A"/>
    <w:rsid w:val="007D3A29"/>
    <w:rsid w:val="007D536E"/>
    <w:rsid w:val="007D5AC8"/>
    <w:rsid w:val="007D637E"/>
    <w:rsid w:val="007E28D5"/>
    <w:rsid w:val="007E3F90"/>
    <w:rsid w:val="007E40CC"/>
    <w:rsid w:val="007E6509"/>
    <w:rsid w:val="007E7E60"/>
    <w:rsid w:val="007F39EC"/>
    <w:rsid w:val="00800C08"/>
    <w:rsid w:val="00801B4A"/>
    <w:rsid w:val="00802ED6"/>
    <w:rsid w:val="008034E7"/>
    <w:rsid w:val="008065A0"/>
    <w:rsid w:val="0080697F"/>
    <w:rsid w:val="00810FF6"/>
    <w:rsid w:val="0081102C"/>
    <w:rsid w:val="00813579"/>
    <w:rsid w:val="00816100"/>
    <w:rsid w:val="00816DF6"/>
    <w:rsid w:val="008170A6"/>
    <w:rsid w:val="0081779C"/>
    <w:rsid w:val="0082007D"/>
    <w:rsid w:val="0082015C"/>
    <w:rsid w:val="008232AE"/>
    <w:rsid w:val="00824E49"/>
    <w:rsid w:val="00827900"/>
    <w:rsid w:val="008318B5"/>
    <w:rsid w:val="008327CB"/>
    <w:rsid w:val="00833EC8"/>
    <w:rsid w:val="00834193"/>
    <w:rsid w:val="00834E9E"/>
    <w:rsid w:val="008358B7"/>
    <w:rsid w:val="008359BE"/>
    <w:rsid w:val="00835CDB"/>
    <w:rsid w:val="00836868"/>
    <w:rsid w:val="00836980"/>
    <w:rsid w:val="00837857"/>
    <w:rsid w:val="00840580"/>
    <w:rsid w:val="00840CB9"/>
    <w:rsid w:val="00841319"/>
    <w:rsid w:val="00841345"/>
    <w:rsid w:val="00843203"/>
    <w:rsid w:val="00844B71"/>
    <w:rsid w:val="00846060"/>
    <w:rsid w:val="0085185E"/>
    <w:rsid w:val="008518C5"/>
    <w:rsid w:val="00851CED"/>
    <w:rsid w:val="00851D24"/>
    <w:rsid w:val="0085701C"/>
    <w:rsid w:val="00860C89"/>
    <w:rsid w:val="0086112A"/>
    <w:rsid w:val="00862271"/>
    <w:rsid w:val="00863DF5"/>
    <w:rsid w:val="00864528"/>
    <w:rsid w:val="00871E1D"/>
    <w:rsid w:val="00871E6B"/>
    <w:rsid w:val="00871FF0"/>
    <w:rsid w:val="00872063"/>
    <w:rsid w:val="00874A34"/>
    <w:rsid w:val="00875DC3"/>
    <w:rsid w:val="008772D2"/>
    <w:rsid w:val="00881BAF"/>
    <w:rsid w:val="00882FD7"/>
    <w:rsid w:val="0088465D"/>
    <w:rsid w:val="008864E4"/>
    <w:rsid w:val="00886D76"/>
    <w:rsid w:val="00891F58"/>
    <w:rsid w:val="00892828"/>
    <w:rsid w:val="00893D4B"/>
    <w:rsid w:val="008951DF"/>
    <w:rsid w:val="00895BE1"/>
    <w:rsid w:val="0089604A"/>
    <w:rsid w:val="008A188E"/>
    <w:rsid w:val="008A1E09"/>
    <w:rsid w:val="008A2915"/>
    <w:rsid w:val="008A58C9"/>
    <w:rsid w:val="008A5C28"/>
    <w:rsid w:val="008A6778"/>
    <w:rsid w:val="008A7E12"/>
    <w:rsid w:val="008B006A"/>
    <w:rsid w:val="008B1AF1"/>
    <w:rsid w:val="008B2374"/>
    <w:rsid w:val="008B6FCE"/>
    <w:rsid w:val="008B7D6E"/>
    <w:rsid w:val="008C17C6"/>
    <w:rsid w:val="008C1B52"/>
    <w:rsid w:val="008C1D82"/>
    <w:rsid w:val="008C220C"/>
    <w:rsid w:val="008C4826"/>
    <w:rsid w:val="008C7451"/>
    <w:rsid w:val="008C7A3A"/>
    <w:rsid w:val="008D0CBA"/>
    <w:rsid w:val="008E0C7E"/>
    <w:rsid w:val="008E0CE7"/>
    <w:rsid w:val="008E24C9"/>
    <w:rsid w:val="008E348C"/>
    <w:rsid w:val="008E5937"/>
    <w:rsid w:val="008F3879"/>
    <w:rsid w:val="008F3A8E"/>
    <w:rsid w:val="008F4336"/>
    <w:rsid w:val="008F6521"/>
    <w:rsid w:val="008F6677"/>
    <w:rsid w:val="00901B79"/>
    <w:rsid w:val="00901DDB"/>
    <w:rsid w:val="00902636"/>
    <w:rsid w:val="00902F96"/>
    <w:rsid w:val="00903593"/>
    <w:rsid w:val="00903DFB"/>
    <w:rsid w:val="00903E18"/>
    <w:rsid w:val="009079D5"/>
    <w:rsid w:val="00910015"/>
    <w:rsid w:val="0091001F"/>
    <w:rsid w:val="00910FF8"/>
    <w:rsid w:val="00911AC4"/>
    <w:rsid w:val="00911E5F"/>
    <w:rsid w:val="00912290"/>
    <w:rsid w:val="009141E2"/>
    <w:rsid w:val="0091441D"/>
    <w:rsid w:val="0091665B"/>
    <w:rsid w:val="00916E4A"/>
    <w:rsid w:val="00924C73"/>
    <w:rsid w:val="009268E9"/>
    <w:rsid w:val="00926FC5"/>
    <w:rsid w:val="00927937"/>
    <w:rsid w:val="0093117B"/>
    <w:rsid w:val="0093309F"/>
    <w:rsid w:val="009330A3"/>
    <w:rsid w:val="00933E6C"/>
    <w:rsid w:val="00934A31"/>
    <w:rsid w:val="00934C24"/>
    <w:rsid w:val="009406A4"/>
    <w:rsid w:val="00940D46"/>
    <w:rsid w:val="00941AF9"/>
    <w:rsid w:val="00942385"/>
    <w:rsid w:val="00942A9B"/>
    <w:rsid w:val="00943F0B"/>
    <w:rsid w:val="00944AC9"/>
    <w:rsid w:val="00945B67"/>
    <w:rsid w:val="00946A95"/>
    <w:rsid w:val="00952633"/>
    <w:rsid w:val="00952843"/>
    <w:rsid w:val="0095396C"/>
    <w:rsid w:val="0095418C"/>
    <w:rsid w:val="00954793"/>
    <w:rsid w:val="00955156"/>
    <w:rsid w:val="0095565C"/>
    <w:rsid w:val="00955868"/>
    <w:rsid w:val="009634C0"/>
    <w:rsid w:val="009645D2"/>
    <w:rsid w:val="00964E64"/>
    <w:rsid w:val="009658CB"/>
    <w:rsid w:val="009662B5"/>
    <w:rsid w:val="00970E53"/>
    <w:rsid w:val="009719AE"/>
    <w:rsid w:val="009801F3"/>
    <w:rsid w:val="00980492"/>
    <w:rsid w:val="00980802"/>
    <w:rsid w:val="00980975"/>
    <w:rsid w:val="00983C33"/>
    <w:rsid w:val="00985E33"/>
    <w:rsid w:val="00986A78"/>
    <w:rsid w:val="00990D7F"/>
    <w:rsid w:val="00991939"/>
    <w:rsid w:val="00992CD7"/>
    <w:rsid w:val="00996B14"/>
    <w:rsid w:val="009974B4"/>
    <w:rsid w:val="009979DC"/>
    <w:rsid w:val="009A0647"/>
    <w:rsid w:val="009A17EA"/>
    <w:rsid w:val="009A2059"/>
    <w:rsid w:val="009A21F7"/>
    <w:rsid w:val="009A404F"/>
    <w:rsid w:val="009A69F7"/>
    <w:rsid w:val="009B02F2"/>
    <w:rsid w:val="009B06DA"/>
    <w:rsid w:val="009B14E7"/>
    <w:rsid w:val="009B28E4"/>
    <w:rsid w:val="009B2B62"/>
    <w:rsid w:val="009B2DB3"/>
    <w:rsid w:val="009B3A6B"/>
    <w:rsid w:val="009B3B19"/>
    <w:rsid w:val="009B48CB"/>
    <w:rsid w:val="009B51FD"/>
    <w:rsid w:val="009B530F"/>
    <w:rsid w:val="009B5488"/>
    <w:rsid w:val="009B6046"/>
    <w:rsid w:val="009C06E9"/>
    <w:rsid w:val="009C0FFD"/>
    <w:rsid w:val="009C1CDA"/>
    <w:rsid w:val="009C4AF3"/>
    <w:rsid w:val="009D100A"/>
    <w:rsid w:val="009D13D7"/>
    <w:rsid w:val="009D7C3C"/>
    <w:rsid w:val="009E0225"/>
    <w:rsid w:val="009E1B0D"/>
    <w:rsid w:val="009E2816"/>
    <w:rsid w:val="009E4070"/>
    <w:rsid w:val="009E4B1B"/>
    <w:rsid w:val="009E5192"/>
    <w:rsid w:val="009E6259"/>
    <w:rsid w:val="009E6ECC"/>
    <w:rsid w:val="009E73C0"/>
    <w:rsid w:val="009F2A9C"/>
    <w:rsid w:val="009F3514"/>
    <w:rsid w:val="009F3B3E"/>
    <w:rsid w:val="009F5F90"/>
    <w:rsid w:val="009F74BF"/>
    <w:rsid w:val="00A0087E"/>
    <w:rsid w:val="00A01907"/>
    <w:rsid w:val="00A04607"/>
    <w:rsid w:val="00A058A7"/>
    <w:rsid w:val="00A0623D"/>
    <w:rsid w:val="00A069E0"/>
    <w:rsid w:val="00A12DF4"/>
    <w:rsid w:val="00A12E5C"/>
    <w:rsid w:val="00A14F20"/>
    <w:rsid w:val="00A15544"/>
    <w:rsid w:val="00A15A7E"/>
    <w:rsid w:val="00A16B2A"/>
    <w:rsid w:val="00A275BD"/>
    <w:rsid w:val="00A33888"/>
    <w:rsid w:val="00A36B9E"/>
    <w:rsid w:val="00A36EAC"/>
    <w:rsid w:val="00A37170"/>
    <w:rsid w:val="00A378B9"/>
    <w:rsid w:val="00A40159"/>
    <w:rsid w:val="00A43822"/>
    <w:rsid w:val="00A45837"/>
    <w:rsid w:val="00A467EE"/>
    <w:rsid w:val="00A477A3"/>
    <w:rsid w:val="00A47E6B"/>
    <w:rsid w:val="00A52BD1"/>
    <w:rsid w:val="00A544A8"/>
    <w:rsid w:val="00A550A6"/>
    <w:rsid w:val="00A61F6D"/>
    <w:rsid w:val="00A62866"/>
    <w:rsid w:val="00A62D58"/>
    <w:rsid w:val="00A636D8"/>
    <w:rsid w:val="00A63785"/>
    <w:rsid w:val="00A63877"/>
    <w:rsid w:val="00A647A0"/>
    <w:rsid w:val="00A65B26"/>
    <w:rsid w:val="00A66E77"/>
    <w:rsid w:val="00A670DE"/>
    <w:rsid w:val="00A6757F"/>
    <w:rsid w:val="00A713D6"/>
    <w:rsid w:val="00A71CE0"/>
    <w:rsid w:val="00A720F2"/>
    <w:rsid w:val="00A72BFE"/>
    <w:rsid w:val="00A72DE6"/>
    <w:rsid w:val="00A73CD8"/>
    <w:rsid w:val="00A74100"/>
    <w:rsid w:val="00A75CDA"/>
    <w:rsid w:val="00A76D43"/>
    <w:rsid w:val="00A77516"/>
    <w:rsid w:val="00A806D9"/>
    <w:rsid w:val="00A81A50"/>
    <w:rsid w:val="00A8302A"/>
    <w:rsid w:val="00A855C4"/>
    <w:rsid w:val="00A86342"/>
    <w:rsid w:val="00A9076F"/>
    <w:rsid w:val="00A912F9"/>
    <w:rsid w:val="00A91E26"/>
    <w:rsid w:val="00A9218D"/>
    <w:rsid w:val="00A92F01"/>
    <w:rsid w:val="00A9456A"/>
    <w:rsid w:val="00A94D2A"/>
    <w:rsid w:val="00A964C2"/>
    <w:rsid w:val="00A9677F"/>
    <w:rsid w:val="00AA0CF4"/>
    <w:rsid w:val="00AA1305"/>
    <w:rsid w:val="00AA16CD"/>
    <w:rsid w:val="00AA3765"/>
    <w:rsid w:val="00AA38EC"/>
    <w:rsid w:val="00AA3D31"/>
    <w:rsid w:val="00AA45D0"/>
    <w:rsid w:val="00AA64BD"/>
    <w:rsid w:val="00AA7C2A"/>
    <w:rsid w:val="00AB0670"/>
    <w:rsid w:val="00AB1BE9"/>
    <w:rsid w:val="00AB1D77"/>
    <w:rsid w:val="00AB200A"/>
    <w:rsid w:val="00AB2419"/>
    <w:rsid w:val="00AB250B"/>
    <w:rsid w:val="00AB4123"/>
    <w:rsid w:val="00AB53F6"/>
    <w:rsid w:val="00AB6D60"/>
    <w:rsid w:val="00AB7146"/>
    <w:rsid w:val="00AC10AB"/>
    <w:rsid w:val="00AC52B2"/>
    <w:rsid w:val="00AC6E5F"/>
    <w:rsid w:val="00AD1F1C"/>
    <w:rsid w:val="00AD2378"/>
    <w:rsid w:val="00AD2A27"/>
    <w:rsid w:val="00AD3122"/>
    <w:rsid w:val="00AD3A1B"/>
    <w:rsid w:val="00AD4210"/>
    <w:rsid w:val="00AD7D2F"/>
    <w:rsid w:val="00AE0D02"/>
    <w:rsid w:val="00AE2610"/>
    <w:rsid w:val="00AE262E"/>
    <w:rsid w:val="00AE3136"/>
    <w:rsid w:val="00AE3679"/>
    <w:rsid w:val="00AE58CD"/>
    <w:rsid w:val="00AF129B"/>
    <w:rsid w:val="00AF405E"/>
    <w:rsid w:val="00AF56D6"/>
    <w:rsid w:val="00B00603"/>
    <w:rsid w:val="00B0548A"/>
    <w:rsid w:val="00B05D7C"/>
    <w:rsid w:val="00B061F8"/>
    <w:rsid w:val="00B06635"/>
    <w:rsid w:val="00B119F9"/>
    <w:rsid w:val="00B128D5"/>
    <w:rsid w:val="00B12B35"/>
    <w:rsid w:val="00B13870"/>
    <w:rsid w:val="00B14CC9"/>
    <w:rsid w:val="00B16B61"/>
    <w:rsid w:val="00B200F8"/>
    <w:rsid w:val="00B20157"/>
    <w:rsid w:val="00B22887"/>
    <w:rsid w:val="00B254E6"/>
    <w:rsid w:val="00B256D4"/>
    <w:rsid w:val="00B258AF"/>
    <w:rsid w:val="00B26DA8"/>
    <w:rsid w:val="00B31771"/>
    <w:rsid w:val="00B3277F"/>
    <w:rsid w:val="00B33AEB"/>
    <w:rsid w:val="00B341CB"/>
    <w:rsid w:val="00B34C57"/>
    <w:rsid w:val="00B354E9"/>
    <w:rsid w:val="00B37F69"/>
    <w:rsid w:val="00B41824"/>
    <w:rsid w:val="00B41868"/>
    <w:rsid w:val="00B438AB"/>
    <w:rsid w:val="00B44960"/>
    <w:rsid w:val="00B456E9"/>
    <w:rsid w:val="00B47104"/>
    <w:rsid w:val="00B5045E"/>
    <w:rsid w:val="00B53563"/>
    <w:rsid w:val="00B53AD9"/>
    <w:rsid w:val="00B55568"/>
    <w:rsid w:val="00B622A1"/>
    <w:rsid w:val="00B62FCB"/>
    <w:rsid w:val="00B633EA"/>
    <w:rsid w:val="00B6642D"/>
    <w:rsid w:val="00B74035"/>
    <w:rsid w:val="00B77FB0"/>
    <w:rsid w:val="00B800F3"/>
    <w:rsid w:val="00B801D2"/>
    <w:rsid w:val="00B81BBB"/>
    <w:rsid w:val="00B82510"/>
    <w:rsid w:val="00B83080"/>
    <w:rsid w:val="00B85250"/>
    <w:rsid w:val="00B8538A"/>
    <w:rsid w:val="00B86298"/>
    <w:rsid w:val="00B8664A"/>
    <w:rsid w:val="00B92711"/>
    <w:rsid w:val="00B927C4"/>
    <w:rsid w:val="00B95601"/>
    <w:rsid w:val="00B9577C"/>
    <w:rsid w:val="00B970CB"/>
    <w:rsid w:val="00B974F0"/>
    <w:rsid w:val="00BA0BEA"/>
    <w:rsid w:val="00BA1F69"/>
    <w:rsid w:val="00BA3CFE"/>
    <w:rsid w:val="00BA3E79"/>
    <w:rsid w:val="00BA45CD"/>
    <w:rsid w:val="00BA59D3"/>
    <w:rsid w:val="00BA5CFF"/>
    <w:rsid w:val="00BA6676"/>
    <w:rsid w:val="00BA667A"/>
    <w:rsid w:val="00BB37B7"/>
    <w:rsid w:val="00BB423E"/>
    <w:rsid w:val="00BB51BA"/>
    <w:rsid w:val="00BC1570"/>
    <w:rsid w:val="00BC290C"/>
    <w:rsid w:val="00BC3E2A"/>
    <w:rsid w:val="00BC3FF7"/>
    <w:rsid w:val="00BC740E"/>
    <w:rsid w:val="00BD06E0"/>
    <w:rsid w:val="00BD1346"/>
    <w:rsid w:val="00BD3BC5"/>
    <w:rsid w:val="00BD401D"/>
    <w:rsid w:val="00BD7729"/>
    <w:rsid w:val="00BE0F09"/>
    <w:rsid w:val="00BE3252"/>
    <w:rsid w:val="00BE3941"/>
    <w:rsid w:val="00BE50BD"/>
    <w:rsid w:val="00BF0ECC"/>
    <w:rsid w:val="00BF379B"/>
    <w:rsid w:val="00BF4963"/>
    <w:rsid w:val="00BF6365"/>
    <w:rsid w:val="00C00F59"/>
    <w:rsid w:val="00C0200C"/>
    <w:rsid w:val="00C02DBC"/>
    <w:rsid w:val="00C031CB"/>
    <w:rsid w:val="00C034A1"/>
    <w:rsid w:val="00C05000"/>
    <w:rsid w:val="00C05E51"/>
    <w:rsid w:val="00C064F4"/>
    <w:rsid w:val="00C06E45"/>
    <w:rsid w:val="00C071A0"/>
    <w:rsid w:val="00C07D93"/>
    <w:rsid w:val="00C11D6D"/>
    <w:rsid w:val="00C12BE6"/>
    <w:rsid w:val="00C148A1"/>
    <w:rsid w:val="00C21199"/>
    <w:rsid w:val="00C22D59"/>
    <w:rsid w:val="00C2541A"/>
    <w:rsid w:val="00C25674"/>
    <w:rsid w:val="00C25EE4"/>
    <w:rsid w:val="00C25F4E"/>
    <w:rsid w:val="00C27484"/>
    <w:rsid w:val="00C304AD"/>
    <w:rsid w:val="00C3067F"/>
    <w:rsid w:val="00C343E2"/>
    <w:rsid w:val="00C35665"/>
    <w:rsid w:val="00C40EF2"/>
    <w:rsid w:val="00C426E4"/>
    <w:rsid w:val="00C4278E"/>
    <w:rsid w:val="00C43DF4"/>
    <w:rsid w:val="00C449FC"/>
    <w:rsid w:val="00C44BB8"/>
    <w:rsid w:val="00C44DFC"/>
    <w:rsid w:val="00C44FDA"/>
    <w:rsid w:val="00C45BC7"/>
    <w:rsid w:val="00C45CB4"/>
    <w:rsid w:val="00C4708B"/>
    <w:rsid w:val="00C47232"/>
    <w:rsid w:val="00C4736E"/>
    <w:rsid w:val="00C47480"/>
    <w:rsid w:val="00C504D2"/>
    <w:rsid w:val="00C52208"/>
    <w:rsid w:val="00C52BA7"/>
    <w:rsid w:val="00C54CBC"/>
    <w:rsid w:val="00C54DF9"/>
    <w:rsid w:val="00C55BF5"/>
    <w:rsid w:val="00C55CC0"/>
    <w:rsid w:val="00C6465F"/>
    <w:rsid w:val="00C65FFD"/>
    <w:rsid w:val="00C66365"/>
    <w:rsid w:val="00C76073"/>
    <w:rsid w:val="00C82390"/>
    <w:rsid w:val="00C829E9"/>
    <w:rsid w:val="00C836BD"/>
    <w:rsid w:val="00C83D20"/>
    <w:rsid w:val="00C83FC0"/>
    <w:rsid w:val="00C84CBE"/>
    <w:rsid w:val="00C863DF"/>
    <w:rsid w:val="00C870DE"/>
    <w:rsid w:val="00C87B09"/>
    <w:rsid w:val="00C94E57"/>
    <w:rsid w:val="00C96F0F"/>
    <w:rsid w:val="00C9713E"/>
    <w:rsid w:val="00C97E6C"/>
    <w:rsid w:val="00CA129C"/>
    <w:rsid w:val="00CA1666"/>
    <w:rsid w:val="00CA21DB"/>
    <w:rsid w:val="00CA29C3"/>
    <w:rsid w:val="00CA38C2"/>
    <w:rsid w:val="00CA4387"/>
    <w:rsid w:val="00CA4F1E"/>
    <w:rsid w:val="00CA7126"/>
    <w:rsid w:val="00CA722C"/>
    <w:rsid w:val="00CA7336"/>
    <w:rsid w:val="00CB0705"/>
    <w:rsid w:val="00CB1122"/>
    <w:rsid w:val="00CB1660"/>
    <w:rsid w:val="00CB1951"/>
    <w:rsid w:val="00CB2B80"/>
    <w:rsid w:val="00CB52B0"/>
    <w:rsid w:val="00CC0302"/>
    <w:rsid w:val="00CC0C3A"/>
    <w:rsid w:val="00CC1522"/>
    <w:rsid w:val="00CC268D"/>
    <w:rsid w:val="00CC4F1D"/>
    <w:rsid w:val="00CC5158"/>
    <w:rsid w:val="00CC5B3C"/>
    <w:rsid w:val="00CC6B53"/>
    <w:rsid w:val="00CD061B"/>
    <w:rsid w:val="00CD26BF"/>
    <w:rsid w:val="00CD3EAE"/>
    <w:rsid w:val="00CD4A9B"/>
    <w:rsid w:val="00CE0231"/>
    <w:rsid w:val="00CE05C5"/>
    <w:rsid w:val="00CE1025"/>
    <w:rsid w:val="00CE377E"/>
    <w:rsid w:val="00CE3CBF"/>
    <w:rsid w:val="00CE4B75"/>
    <w:rsid w:val="00CE6BEA"/>
    <w:rsid w:val="00CE77DC"/>
    <w:rsid w:val="00CF174D"/>
    <w:rsid w:val="00CF2272"/>
    <w:rsid w:val="00CF2762"/>
    <w:rsid w:val="00CF2B9D"/>
    <w:rsid w:val="00CF4194"/>
    <w:rsid w:val="00CF47DF"/>
    <w:rsid w:val="00CF7A16"/>
    <w:rsid w:val="00CF7B9A"/>
    <w:rsid w:val="00D02E4C"/>
    <w:rsid w:val="00D02E87"/>
    <w:rsid w:val="00D05E99"/>
    <w:rsid w:val="00D0708A"/>
    <w:rsid w:val="00D0745E"/>
    <w:rsid w:val="00D07791"/>
    <w:rsid w:val="00D10638"/>
    <w:rsid w:val="00D1298D"/>
    <w:rsid w:val="00D142CE"/>
    <w:rsid w:val="00D1680B"/>
    <w:rsid w:val="00D16A6E"/>
    <w:rsid w:val="00D1738D"/>
    <w:rsid w:val="00D17914"/>
    <w:rsid w:val="00D17F5C"/>
    <w:rsid w:val="00D24D67"/>
    <w:rsid w:val="00D2552D"/>
    <w:rsid w:val="00D27810"/>
    <w:rsid w:val="00D31751"/>
    <w:rsid w:val="00D31D3B"/>
    <w:rsid w:val="00D337F3"/>
    <w:rsid w:val="00D35410"/>
    <w:rsid w:val="00D40A61"/>
    <w:rsid w:val="00D415EA"/>
    <w:rsid w:val="00D415F8"/>
    <w:rsid w:val="00D41AEA"/>
    <w:rsid w:val="00D43B51"/>
    <w:rsid w:val="00D44005"/>
    <w:rsid w:val="00D448D7"/>
    <w:rsid w:val="00D5175A"/>
    <w:rsid w:val="00D52CE2"/>
    <w:rsid w:val="00D54301"/>
    <w:rsid w:val="00D608A9"/>
    <w:rsid w:val="00D60EF4"/>
    <w:rsid w:val="00D61AE6"/>
    <w:rsid w:val="00D62E78"/>
    <w:rsid w:val="00D65BAF"/>
    <w:rsid w:val="00D67DA0"/>
    <w:rsid w:val="00D72176"/>
    <w:rsid w:val="00D72F85"/>
    <w:rsid w:val="00D74C34"/>
    <w:rsid w:val="00D775E1"/>
    <w:rsid w:val="00D83887"/>
    <w:rsid w:val="00D8445E"/>
    <w:rsid w:val="00D8572F"/>
    <w:rsid w:val="00D9058E"/>
    <w:rsid w:val="00D91143"/>
    <w:rsid w:val="00D91BF1"/>
    <w:rsid w:val="00D92972"/>
    <w:rsid w:val="00D92D74"/>
    <w:rsid w:val="00D93823"/>
    <w:rsid w:val="00D94DE1"/>
    <w:rsid w:val="00D97362"/>
    <w:rsid w:val="00DA0534"/>
    <w:rsid w:val="00DA1EFE"/>
    <w:rsid w:val="00DA25C8"/>
    <w:rsid w:val="00DA4E40"/>
    <w:rsid w:val="00DA5B68"/>
    <w:rsid w:val="00DB0F1F"/>
    <w:rsid w:val="00DB26B1"/>
    <w:rsid w:val="00DB2E1A"/>
    <w:rsid w:val="00DB332A"/>
    <w:rsid w:val="00DB3B1D"/>
    <w:rsid w:val="00DB4D76"/>
    <w:rsid w:val="00DB4FD4"/>
    <w:rsid w:val="00DB6202"/>
    <w:rsid w:val="00DC26F9"/>
    <w:rsid w:val="00DC5947"/>
    <w:rsid w:val="00DC59F2"/>
    <w:rsid w:val="00DC5CD6"/>
    <w:rsid w:val="00DD071D"/>
    <w:rsid w:val="00DD1067"/>
    <w:rsid w:val="00DD1D37"/>
    <w:rsid w:val="00DD516C"/>
    <w:rsid w:val="00DD796A"/>
    <w:rsid w:val="00DE062E"/>
    <w:rsid w:val="00DE1808"/>
    <w:rsid w:val="00DE19EB"/>
    <w:rsid w:val="00DE2518"/>
    <w:rsid w:val="00DE4A69"/>
    <w:rsid w:val="00DE60D7"/>
    <w:rsid w:val="00DE6866"/>
    <w:rsid w:val="00DF4B3E"/>
    <w:rsid w:val="00DF7254"/>
    <w:rsid w:val="00E0237F"/>
    <w:rsid w:val="00E034E7"/>
    <w:rsid w:val="00E12660"/>
    <w:rsid w:val="00E15E36"/>
    <w:rsid w:val="00E1661A"/>
    <w:rsid w:val="00E16C3E"/>
    <w:rsid w:val="00E1713C"/>
    <w:rsid w:val="00E1740B"/>
    <w:rsid w:val="00E17432"/>
    <w:rsid w:val="00E209E5"/>
    <w:rsid w:val="00E20B77"/>
    <w:rsid w:val="00E20EAD"/>
    <w:rsid w:val="00E23619"/>
    <w:rsid w:val="00E2425F"/>
    <w:rsid w:val="00E26302"/>
    <w:rsid w:val="00E26C49"/>
    <w:rsid w:val="00E27C1A"/>
    <w:rsid w:val="00E31540"/>
    <w:rsid w:val="00E32254"/>
    <w:rsid w:val="00E335B0"/>
    <w:rsid w:val="00E34251"/>
    <w:rsid w:val="00E429D7"/>
    <w:rsid w:val="00E43C02"/>
    <w:rsid w:val="00E447C0"/>
    <w:rsid w:val="00E44897"/>
    <w:rsid w:val="00E4618D"/>
    <w:rsid w:val="00E4768E"/>
    <w:rsid w:val="00E53BF8"/>
    <w:rsid w:val="00E5520E"/>
    <w:rsid w:val="00E56915"/>
    <w:rsid w:val="00E57617"/>
    <w:rsid w:val="00E60A86"/>
    <w:rsid w:val="00E60B32"/>
    <w:rsid w:val="00E67CAC"/>
    <w:rsid w:val="00E70EDF"/>
    <w:rsid w:val="00E73D36"/>
    <w:rsid w:val="00E742C8"/>
    <w:rsid w:val="00E75408"/>
    <w:rsid w:val="00E75904"/>
    <w:rsid w:val="00E75F35"/>
    <w:rsid w:val="00E76723"/>
    <w:rsid w:val="00E772CB"/>
    <w:rsid w:val="00E82A49"/>
    <w:rsid w:val="00E85B43"/>
    <w:rsid w:val="00E85E94"/>
    <w:rsid w:val="00E92BFE"/>
    <w:rsid w:val="00E93EC6"/>
    <w:rsid w:val="00E9659E"/>
    <w:rsid w:val="00EA22E6"/>
    <w:rsid w:val="00EA26BD"/>
    <w:rsid w:val="00EA27B0"/>
    <w:rsid w:val="00EA2DB4"/>
    <w:rsid w:val="00EA3AF2"/>
    <w:rsid w:val="00EA56EB"/>
    <w:rsid w:val="00EA67CC"/>
    <w:rsid w:val="00EB1C40"/>
    <w:rsid w:val="00EB3BE3"/>
    <w:rsid w:val="00EB43A7"/>
    <w:rsid w:val="00EB6B0F"/>
    <w:rsid w:val="00EB7057"/>
    <w:rsid w:val="00EC09D8"/>
    <w:rsid w:val="00EC5B8B"/>
    <w:rsid w:val="00EC6BAD"/>
    <w:rsid w:val="00EC6BF3"/>
    <w:rsid w:val="00EC6DA8"/>
    <w:rsid w:val="00EC7CE0"/>
    <w:rsid w:val="00ED12F3"/>
    <w:rsid w:val="00ED34CE"/>
    <w:rsid w:val="00ED358D"/>
    <w:rsid w:val="00ED397B"/>
    <w:rsid w:val="00ED3AF9"/>
    <w:rsid w:val="00EE0FF0"/>
    <w:rsid w:val="00EE30B2"/>
    <w:rsid w:val="00EE355E"/>
    <w:rsid w:val="00EE5403"/>
    <w:rsid w:val="00EE54E4"/>
    <w:rsid w:val="00EE561E"/>
    <w:rsid w:val="00EE721D"/>
    <w:rsid w:val="00EF2D97"/>
    <w:rsid w:val="00EF3B24"/>
    <w:rsid w:val="00EF71FE"/>
    <w:rsid w:val="00EF7ED1"/>
    <w:rsid w:val="00F01688"/>
    <w:rsid w:val="00F01C44"/>
    <w:rsid w:val="00F02261"/>
    <w:rsid w:val="00F03471"/>
    <w:rsid w:val="00F04DCE"/>
    <w:rsid w:val="00F065DD"/>
    <w:rsid w:val="00F075A7"/>
    <w:rsid w:val="00F112DE"/>
    <w:rsid w:val="00F1175D"/>
    <w:rsid w:val="00F11E1E"/>
    <w:rsid w:val="00F120A0"/>
    <w:rsid w:val="00F14A1E"/>
    <w:rsid w:val="00F14EB8"/>
    <w:rsid w:val="00F14F82"/>
    <w:rsid w:val="00F17743"/>
    <w:rsid w:val="00F224EC"/>
    <w:rsid w:val="00F2301B"/>
    <w:rsid w:val="00F237E2"/>
    <w:rsid w:val="00F256EF"/>
    <w:rsid w:val="00F25BEE"/>
    <w:rsid w:val="00F26D1B"/>
    <w:rsid w:val="00F306FD"/>
    <w:rsid w:val="00F3080B"/>
    <w:rsid w:val="00F33AA0"/>
    <w:rsid w:val="00F34500"/>
    <w:rsid w:val="00F34ED0"/>
    <w:rsid w:val="00F34FF6"/>
    <w:rsid w:val="00F401A9"/>
    <w:rsid w:val="00F41034"/>
    <w:rsid w:val="00F43949"/>
    <w:rsid w:val="00F43E45"/>
    <w:rsid w:val="00F44553"/>
    <w:rsid w:val="00F4694B"/>
    <w:rsid w:val="00F502FA"/>
    <w:rsid w:val="00F508BD"/>
    <w:rsid w:val="00F53ECD"/>
    <w:rsid w:val="00F543C7"/>
    <w:rsid w:val="00F5721B"/>
    <w:rsid w:val="00F5738B"/>
    <w:rsid w:val="00F57501"/>
    <w:rsid w:val="00F6028B"/>
    <w:rsid w:val="00F6111F"/>
    <w:rsid w:val="00F62718"/>
    <w:rsid w:val="00F67730"/>
    <w:rsid w:val="00F72268"/>
    <w:rsid w:val="00F72648"/>
    <w:rsid w:val="00F72724"/>
    <w:rsid w:val="00F73482"/>
    <w:rsid w:val="00F73C29"/>
    <w:rsid w:val="00F74EC4"/>
    <w:rsid w:val="00F8005E"/>
    <w:rsid w:val="00F8247D"/>
    <w:rsid w:val="00F83A24"/>
    <w:rsid w:val="00F85588"/>
    <w:rsid w:val="00F9164D"/>
    <w:rsid w:val="00F92257"/>
    <w:rsid w:val="00F93A6D"/>
    <w:rsid w:val="00F94D50"/>
    <w:rsid w:val="00F95030"/>
    <w:rsid w:val="00F95B43"/>
    <w:rsid w:val="00FA04B1"/>
    <w:rsid w:val="00FA0635"/>
    <w:rsid w:val="00FA1634"/>
    <w:rsid w:val="00FA1C36"/>
    <w:rsid w:val="00FA219E"/>
    <w:rsid w:val="00FA2546"/>
    <w:rsid w:val="00FA3BD5"/>
    <w:rsid w:val="00FA5533"/>
    <w:rsid w:val="00FA5FAF"/>
    <w:rsid w:val="00FA72B2"/>
    <w:rsid w:val="00FB4A64"/>
    <w:rsid w:val="00FB5B27"/>
    <w:rsid w:val="00FB62BA"/>
    <w:rsid w:val="00FB6430"/>
    <w:rsid w:val="00FB6730"/>
    <w:rsid w:val="00FB7336"/>
    <w:rsid w:val="00FB7B81"/>
    <w:rsid w:val="00FC1C69"/>
    <w:rsid w:val="00FC1DE3"/>
    <w:rsid w:val="00FC1FF6"/>
    <w:rsid w:val="00FC2E66"/>
    <w:rsid w:val="00FC3CA4"/>
    <w:rsid w:val="00FD1712"/>
    <w:rsid w:val="00FD22CA"/>
    <w:rsid w:val="00FD2C00"/>
    <w:rsid w:val="00FD2D90"/>
    <w:rsid w:val="00FD317D"/>
    <w:rsid w:val="00FE033B"/>
    <w:rsid w:val="00FE052C"/>
    <w:rsid w:val="00FE2844"/>
    <w:rsid w:val="00FE2BF8"/>
    <w:rsid w:val="00FE39AC"/>
    <w:rsid w:val="00FE5FDB"/>
    <w:rsid w:val="00FE61FD"/>
    <w:rsid w:val="00FE7727"/>
    <w:rsid w:val="00FF0063"/>
    <w:rsid w:val="00FF09B4"/>
    <w:rsid w:val="00FF0D80"/>
    <w:rsid w:val="00FF25F5"/>
    <w:rsid w:val="00FF3EA8"/>
    <w:rsid w:val="00FF511A"/>
    <w:rsid w:val="00FF76D0"/>
    <w:rsid w:val="1FD6A8CB"/>
    <w:rsid w:val="2518D106"/>
    <w:rsid w:val="345F11DF"/>
    <w:rsid w:val="63B5C043"/>
    <w:rsid w:val="6E1B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8233"/>
  <w15:docId w15:val="{B363FC1B-68B9-42A5-A35B-87D23A3C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Header">
    <w:name w:val="header"/>
    <w:basedOn w:val="Normal"/>
    <w:link w:val="HeaderChar"/>
    <w:uiPriority w:val="99"/>
    <w:unhideWhenUsed/>
    <w:rsid w:val="0060469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0469B"/>
    <w:rPr>
      <w:rFonts w:cs="Mangal"/>
      <w:szCs w:val="21"/>
    </w:rPr>
  </w:style>
  <w:style w:type="paragraph" w:styleId="Footer">
    <w:name w:val="footer"/>
    <w:basedOn w:val="Normal"/>
    <w:link w:val="FooterChar"/>
    <w:uiPriority w:val="99"/>
    <w:unhideWhenUsed/>
    <w:rsid w:val="0060469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0469B"/>
    <w:rPr>
      <w:rFonts w:cs="Mangal"/>
      <w:szCs w:val="21"/>
    </w:rPr>
  </w:style>
  <w:style w:type="paragraph" w:styleId="FootnoteText">
    <w:name w:val="footnote text"/>
    <w:basedOn w:val="Normal"/>
    <w:link w:val="FootnoteTextChar"/>
    <w:uiPriority w:val="99"/>
    <w:semiHidden/>
    <w:unhideWhenUsed/>
    <w:rsid w:val="005A793A"/>
    <w:rPr>
      <w:rFonts w:cs="Mangal"/>
      <w:sz w:val="20"/>
      <w:szCs w:val="18"/>
    </w:rPr>
  </w:style>
  <w:style w:type="character" w:customStyle="1" w:styleId="FootnoteTextChar">
    <w:name w:val="Footnote Text Char"/>
    <w:basedOn w:val="DefaultParagraphFont"/>
    <w:link w:val="FootnoteText"/>
    <w:uiPriority w:val="99"/>
    <w:semiHidden/>
    <w:rsid w:val="005A793A"/>
    <w:rPr>
      <w:rFonts w:cs="Mangal"/>
      <w:sz w:val="20"/>
      <w:szCs w:val="18"/>
    </w:rPr>
  </w:style>
  <w:style w:type="character" w:styleId="FootnoteReference">
    <w:name w:val="footnote reference"/>
    <w:basedOn w:val="DefaultParagraphFont"/>
    <w:uiPriority w:val="99"/>
    <w:semiHidden/>
    <w:unhideWhenUsed/>
    <w:rsid w:val="005A793A"/>
    <w:rPr>
      <w:vertAlign w:val="superscript"/>
    </w:rPr>
  </w:style>
  <w:style w:type="character" w:styleId="Hyperlink">
    <w:name w:val="Hyperlink"/>
    <w:basedOn w:val="DefaultParagraphFont"/>
    <w:uiPriority w:val="99"/>
    <w:unhideWhenUsed/>
    <w:rsid w:val="005A793A"/>
    <w:rPr>
      <w:color w:val="0563C1" w:themeColor="hyperlink"/>
      <w:u w:val="single"/>
    </w:rPr>
  </w:style>
  <w:style w:type="table" w:styleId="TableGrid">
    <w:name w:val="Table Grid"/>
    <w:basedOn w:val="TableNormal"/>
    <w:uiPriority w:val="59"/>
    <w:rsid w:val="004438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10FF6"/>
    <w:pPr>
      <w:autoSpaceDN/>
      <w:textAlignment w:val="auto"/>
    </w:pPr>
    <w:rPr>
      <w:rFonts w:cs="Mangal"/>
      <w:szCs w:val="21"/>
    </w:rPr>
  </w:style>
  <w:style w:type="paragraph" w:styleId="ListParagraph">
    <w:name w:val="List Paragraph"/>
    <w:basedOn w:val="Normal"/>
    <w:uiPriority w:val="34"/>
    <w:qFormat/>
    <w:rsid w:val="00465C2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44795</dc:creator>
  <cp:lastModifiedBy>Kate Morgan</cp:lastModifiedBy>
  <cp:revision>50</cp:revision>
  <dcterms:created xsi:type="dcterms:W3CDTF">2022-11-18T13:27:00Z</dcterms:created>
  <dcterms:modified xsi:type="dcterms:W3CDTF">2022-11-28T16:41:00Z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0x0101002E77B620C5D1BC48835C573A3521AD81</vt:lpwstr>
  </property>
</Properties>
</file>