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6F9A" w14:textId="087A7A75" w:rsidR="002771A1" w:rsidRPr="000B5D34" w:rsidRDefault="00905368" w:rsidP="00905368">
      <w:pPr>
        <w:jc w:val="right"/>
        <w:rPr>
          <w:rFonts w:ascii="Arial" w:hAnsi="Arial" w:cs="Arial"/>
          <w:sz w:val="24"/>
          <w:szCs w:val="24"/>
        </w:rPr>
      </w:pPr>
      <w:r w:rsidRPr="000B5D34">
        <w:rPr>
          <w:rFonts w:ascii="Arial" w:hAnsi="Arial" w:cs="Arial"/>
          <w:sz w:val="24"/>
          <w:szCs w:val="24"/>
        </w:rPr>
        <w:t xml:space="preserve">Independent </w:t>
      </w:r>
      <w:r w:rsidR="00C709E2">
        <w:rPr>
          <w:rFonts w:ascii="Arial" w:hAnsi="Arial" w:cs="Arial"/>
          <w:sz w:val="24"/>
          <w:szCs w:val="24"/>
        </w:rPr>
        <w:t>Water</w:t>
      </w:r>
      <w:r w:rsidRPr="000B5D34">
        <w:rPr>
          <w:rFonts w:ascii="Arial" w:hAnsi="Arial" w:cs="Arial"/>
          <w:sz w:val="24"/>
          <w:szCs w:val="24"/>
        </w:rPr>
        <w:t xml:space="preserve"> Adoption Panel</w:t>
      </w:r>
    </w:p>
    <w:p w14:paraId="73176DD1" w14:textId="71625338" w:rsidR="00905368" w:rsidRPr="000B5D34" w:rsidRDefault="00905368" w:rsidP="00905368">
      <w:pPr>
        <w:jc w:val="right"/>
        <w:rPr>
          <w:rFonts w:ascii="Arial" w:hAnsi="Arial" w:cs="Arial"/>
          <w:sz w:val="24"/>
          <w:szCs w:val="24"/>
        </w:rPr>
      </w:pPr>
      <w:r w:rsidRPr="000B5D34">
        <w:rPr>
          <w:rFonts w:ascii="Arial" w:hAnsi="Arial" w:cs="Arial"/>
          <w:sz w:val="24"/>
          <w:szCs w:val="24"/>
        </w:rPr>
        <w:t>Water UK</w:t>
      </w:r>
    </w:p>
    <w:p w14:paraId="641F8E64" w14:textId="63E7FB1F" w:rsidR="00905368" w:rsidRPr="000B5D34" w:rsidRDefault="00905368" w:rsidP="00905368">
      <w:pPr>
        <w:jc w:val="right"/>
        <w:rPr>
          <w:rFonts w:ascii="Arial" w:hAnsi="Arial" w:cs="Arial"/>
          <w:sz w:val="24"/>
          <w:szCs w:val="24"/>
        </w:rPr>
      </w:pPr>
      <w:r w:rsidRPr="000B5D34">
        <w:rPr>
          <w:rFonts w:ascii="Arial" w:hAnsi="Arial" w:cs="Arial"/>
          <w:sz w:val="24"/>
          <w:szCs w:val="24"/>
        </w:rPr>
        <w:t>36 Broadway</w:t>
      </w:r>
    </w:p>
    <w:p w14:paraId="5599C7F3" w14:textId="70D8A2D7" w:rsidR="00905368" w:rsidRPr="000B5D34" w:rsidRDefault="00905368" w:rsidP="00905368">
      <w:pPr>
        <w:jc w:val="right"/>
        <w:rPr>
          <w:rFonts w:ascii="Arial" w:hAnsi="Arial" w:cs="Arial"/>
          <w:sz w:val="24"/>
          <w:szCs w:val="24"/>
        </w:rPr>
      </w:pPr>
      <w:r w:rsidRPr="000B5D34">
        <w:rPr>
          <w:rFonts w:ascii="Arial" w:hAnsi="Arial" w:cs="Arial"/>
          <w:sz w:val="24"/>
          <w:szCs w:val="24"/>
        </w:rPr>
        <w:t xml:space="preserve">London </w:t>
      </w:r>
    </w:p>
    <w:p w14:paraId="4FBBB8CA" w14:textId="1B0A6EB2" w:rsidR="00905368" w:rsidRDefault="00905368" w:rsidP="00905368">
      <w:pPr>
        <w:jc w:val="right"/>
        <w:rPr>
          <w:rFonts w:ascii="Arial" w:hAnsi="Arial" w:cs="Arial"/>
          <w:sz w:val="24"/>
          <w:szCs w:val="24"/>
        </w:rPr>
      </w:pPr>
      <w:r w:rsidRPr="000B5D34">
        <w:rPr>
          <w:rFonts w:ascii="Arial" w:hAnsi="Arial" w:cs="Arial"/>
          <w:sz w:val="24"/>
          <w:szCs w:val="24"/>
        </w:rPr>
        <w:t>SW1H 0BH</w:t>
      </w:r>
    </w:p>
    <w:p w14:paraId="7A455EAE" w14:textId="683A7CC1" w:rsidR="00DB5E97" w:rsidRPr="000B5D34" w:rsidRDefault="005C3215" w:rsidP="00905368">
      <w:pPr>
        <w:jc w:val="right"/>
        <w:rPr>
          <w:rFonts w:ascii="Arial" w:hAnsi="Arial" w:cs="Arial"/>
          <w:sz w:val="24"/>
          <w:szCs w:val="24"/>
        </w:rPr>
      </w:pPr>
      <w:r>
        <w:rPr>
          <w:rFonts w:ascii="Arial" w:hAnsi="Arial" w:cs="Arial"/>
          <w:sz w:val="24"/>
          <w:szCs w:val="24"/>
        </w:rPr>
        <w:t>17 February 2023</w:t>
      </w:r>
    </w:p>
    <w:p w14:paraId="3F2322CF" w14:textId="549F67DF" w:rsidR="00905368" w:rsidRDefault="00965297" w:rsidP="00905368">
      <w:pPr>
        <w:rPr>
          <w:rFonts w:ascii="Arial" w:hAnsi="Arial" w:cs="Arial"/>
          <w:sz w:val="24"/>
          <w:szCs w:val="24"/>
        </w:rPr>
      </w:pPr>
      <w:r>
        <w:rPr>
          <w:rFonts w:ascii="Arial" w:hAnsi="Arial" w:cs="Arial"/>
          <w:sz w:val="24"/>
          <w:szCs w:val="24"/>
        </w:rPr>
        <w:t>F.A.O. Michael Deakin</w:t>
      </w:r>
    </w:p>
    <w:p w14:paraId="0260AF1B" w14:textId="301C013E" w:rsidR="00965297" w:rsidRDefault="00965297" w:rsidP="00905368">
      <w:pPr>
        <w:rPr>
          <w:rFonts w:ascii="Arial" w:hAnsi="Arial" w:cs="Arial"/>
          <w:sz w:val="24"/>
          <w:szCs w:val="24"/>
        </w:rPr>
      </w:pPr>
      <w:r>
        <w:rPr>
          <w:rFonts w:ascii="Arial" w:hAnsi="Arial" w:cs="Arial"/>
          <w:sz w:val="24"/>
          <w:szCs w:val="24"/>
        </w:rPr>
        <w:t>Ofwat</w:t>
      </w:r>
    </w:p>
    <w:p w14:paraId="3D686557" w14:textId="19CC96F7" w:rsidR="00965297" w:rsidRDefault="007131D7" w:rsidP="00905368">
      <w:pPr>
        <w:rPr>
          <w:rFonts w:ascii="Arial" w:hAnsi="Arial" w:cs="Arial"/>
          <w:sz w:val="24"/>
          <w:szCs w:val="24"/>
        </w:rPr>
      </w:pPr>
      <w:r>
        <w:rPr>
          <w:rFonts w:ascii="Arial" w:hAnsi="Arial" w:cs="Arial"/>
          <w:sz w:val="24"/>
          <w:szCs w:val="24"/>
        </w:rPr>
        <w:t>Centre City Tower</w:t>
      </w:r>
    </w:p>
    <w:p w14:paraId="58C845B0" w14:textId="3193B62C" w:rsidR="007131D7" w:rsidRDefault="007131D7" w:rsidP="00905368">
      <w:pPr>
        <w:rPr>
          <w:rFonts w:ascii="Arial" w:hAnsi="Arial" w:cs="Arial"/>
          <w:sz w:val="24"/>
          <w:szCs w:val="24"/>
        </w:rPr>
      </w:pPr>
      <w:r>
        <w:rPr>
          <w:rFonts w:ascii="Arial" w:hAnsi="Arial" w:cs="Arial"/>
          <w:sz w:val="24"/>
          <w:szCs w:val="24"/>
        </w:rPr>
        <w:t>7 Hill Street</w:t>
      </w:r>
    </w:p>
    <w:p w14:paraId="0AC082DD" w14:textId="1FF9E1F6" w:rsidR="007131D7" w:rsidRDefault="007131D7" w:rsidP="00905368">
      <w:pPr>
        <w:rPr>
          <w:rFonts w:ascii="Arial" w:hAnsi="Arial" w:cs="Arial"/>
          <w:sz w:val="24"/>
          <w:szCs w:val="24"/>
        </w:rPr>
      </w:pPr>
      <w:r>
        <w:rPr>
          <w:rFonts w:ascii="Arial" w:hAnsi="Arial" w:cs="Arial"/>
          <w:sz w:val="24"/>
          <w:szCs w:val="24"/>
        </w:rPr>
        <w:t>Birmingham</w:t>
      </w:r>
    </w:p>
    <w:p w14:paraId="505E648C" w14:textId="6742C3C5" w:rsidR="007131D7" w:rsidRDefault="007131D7" w:rsidP="00905368">
      <w:pPr>
        <w:rPr>
          <w:rFonts w:ascii="Arial" w:hAnsi="Arial" w:cs="Arial"/>
          <w:sz w:val="24"/>
          <w:szCs w:val="24"/>
        </w:rPr>
      </w:pPr>
      <w:r>
        <w:rPr>
          <w:rFonts w:ascii="Arial" w:hAnsi="Arial" w:cs="Arial"/>
          <w:sz w:val="24"/>
          <w:szCs w:val="24"/>
        </w:rPr>
        <w:t>B5 4UA</w:t>
      </w:r>
    </w:p>
    <w:p w14:paraId="075D3FC6" w14:textId="38DCB45D" w:rsidR="007131D7" w:rsidRPr="007131D7" w:rsidRDefault="007131D7" w:rsidP="00905368">
      <w:pPr>
        <w:rPr>
          <w:rFonts w:ascii="Arial" w:hAnsi="Arial" w:cs="Arial"/>
          <w:b/>
          <w:bCs/>
          <w:sz w:val="24"/>
          <w:szCs w:val="24"/>
        </w:rPr>
      </w:pPr>
      <w:r>
        <w:rPr>
          <w:rFonts w:ascii="Arial" w:hAnsi="Arial" w:cs="Arial"/>
          <w:b/>
          <w:bCs/>
          <w:sz w:val="24"/>
          <w:szCs w:val="24"/>
        </w:rPr>
        <w:t xml:space="preserve">By email only to </w:t>
      </w:r>
      <w:r w:rsidR="00DB5E97">
        <w:rPr>
          <w:rFonts w:ascii="Arial" w:hAnsi="Arial" w:cs="Arial"/>
          <w:b/>
          <w:bCs/>
          <w:sz w:val="24"/>
          <w:szCs w:val="24"/>
        </w:rPr>
        <w:t>Michael.Deakin@ofwat.gov.uk</w:t>
      </w:r>
    </w:p>
    <w:p w14:paraId="08DFC41D" w14:textId="0B7348DB" w:rsidR="00905368" w:rsidRPr="000B5D34" w:rsidRDefault="00905368" w:rsidP="00905368">
      <w:pPr>
        <w:rPr>
          <w:rFonts w:ascii="Arial" w:hAnsi="Arial" w:cs="Arial"/>
          <w:sz w:val="24"/>
          <w:szCs w:val="24"/>
        </w:rPr>
      </w:pPr>
    </w:p>
    <w:p w14:paraId="60BEB580" w14:textId="0A5286CF" w:rsidR="00905368" w:rsidRPr="000B5D34" w:rsidRDefault="00905368" w:rsidP="00905368">
      <w:pPr>
        <w:rPr>
          <w:rFonts w:ascii="Arial" w:hAnsi="Arial" w:cs="Arial"/>
          <w:sz w:val="24"/>
          <w:szCs w:val="24"/>
        </w:rPr>
      </w:pPr>
      <w:r w:rsidRPr="000B5D34">
        <w:rPr>
          <w:rFonts w:ascii="Arial" w:hAnsi="Arial" w:cs="Arial"/>
          <w:sz w:val="24"/>
          <w:szCs w:val="24"/>
        </w:rPr>
        <w:t xml:space="preserve">Dear </w:t>
      </w:r>
      <w:r w:rsidR="00DB5E97">
        <w:rPr>
          <w:rFonts w:ascii="Arial" w:hAnsi="Arial" w:cs="Arial"/>
          <w:sz w:val="24"/>
          <w:szCs w:val="24"/>
        </w:rPr>
        <w:t>Michael</w:t>
      </w:r>
    </w:p>
    <w:p w14:paraId="15E574AE" w14:textId="20CDBA89" w:rsidR="00353937" w:rsidRPr="000B5D34" w:rsidRDefault="00353937" w:rsidP="00AC32B9">
      <w:pPr>
        <w:jc w:val="both"/>
        <w:rPr>
          <w:rFonts w:ascii="Arial" w:hAnsi="Arial" w:cs="Arial"/>
          <w:b/>
          <w:bCs/>
          <w:sz w:val="24"/>
          <w:szCs w:val="24"/>
        </w:rPr>
      </w:pPr>
      <w:r w:rsidRPr="000B5D34">
        <w:rPr>
          <w:rFonts w:ascii="Arial" w:hAnsi="Arial" w:cs="Arial"/>
          <w:b/>
          <w:bCs/>
          <w:sz w:val="24"/>
          <w:szCs w:val="24"/>
        </w:rPr>
        <w:t xml:space="preserve">Independent </w:t>
      </w:r>
      <w:r w:rsidR="00C709E2">
        <w:rPr>
          <w:rFonts w:ascii="Arial" w:hAnsi="Arial" w:cs="Arial"/>
          <w:b/>
          <w:bCs/>
          <w:sz w:val="24"/>
          <w:szCs w:val="24"/>
        </w:rPr>
        <w:t>Water</w:t>
      </w:r>
      <w:r w:rsidRPr="000B5D34">
        <w:rPr>
          <w:rFonts w:ascii="Arial" w:hAnsi="Arial" w:cs="Arial"/>
          <w:b/>
          <w:bCs/>
          <w:sz w:val="24"/>
          <w:szCs w:val="24"/>
        </w:rPr>
        <w:t xml:space="preserve"> Adoption Panel (‘the Panel’)</w:t>
      </w:r>
    </w:p>
    <w:p w14:paraId="1A85C6EF" w14:textId="0BAC87E9" w:rsidR="00183A3D" w:rsidRPr="000B5D34" w:rsidRDefault="0C18B594" w:rsidP="0C18B594">
      <w:pPr>
        <w:pStyle w:val="Textbody"/>
        <w:rPr>
          <w:rFonts w:ascii="Arial" w:hAnsi="Arial"/>
        </w:rPr>
      </w:pPr>
      <w:r w:rsidRPr="0C18B594">
        <w:rPr>
          <w:rFonts w:ascii="Arial" w:hAnsi="Arial"/>
          <w:b/>
          <w:bCs/>
        </w:rPr>
        <w:t xml:space="preserve">Change Proposal by Fair Water Connections: </w:t>
      </w:r>
      <w:r w:rsidR="00A51206">
        <w:rPr>
          <w:rFonts w:ascii="Arial" w:hAnsi="Arial"/>
          <w:b/>
          <w:bCs/>
        </w:rPr>
        <w:t xml:space="preserve">Provision of Service </w:t>
      </w:r>
      <w:r w:rsidR="00AF26BC">
        <w:rPr>
          <w:rFonts w:ascii="Arial" w:hAnsi="Arial"/>
          <w:b/>
          <w:bCs/>
        </w:rPr>
        <w:t>Connection Meters</w:t>
      </w:r>
    </w:p>
    <w:p w14:paraId="1542FF21" w14:textId="7079600D" w:rsidR="00183A3D" w:rsidRPr="000B5D34" w:rsidRDefault="0C18B594" w:rsidP="0C18B594">
      <w:pPr>
        <w:pStyle w:val="Textbody"/>
        <w:rPr>
          <w:rFonts w:ascii="Arial" w:hAnsi="Arial"/>
        </w:rPr>
      </w:pPr>
      <w:r w:rsidRPr="0C18B594">
        <w:rPr>
          <w:rFonts w:ascii="Arial" w:hAnsi="Arial"/>
        </w:rPr>
        <w:t>I write further to the above and to the Change Proposal (‘the Proposal’) submitted to the Panel by Fair Water Connections (‘FWC’) and published on the Panel’s website on</w:t>
      </w:r>
      <w:r w:rsidR="00D1102C">
        <w:rPr>
          <w:rFonts w:ascii="Arial" w:hAnsi="Arial"/>
        </w:rPr>
        <w:t xml:space="preserve"> 28</w:t>
      </w:r>
      <w:r w:rsidR="00D1102C" w:rsidRPr="00D1102C">
        <w:rPr>
          <w:rFonts w:ascii="Arial" w:hAnsi="Arial"/>
          <w:vertAlign w:val="superscript"/>
        </w:rPr>
        <w:t>th</w:t>
      </w:r>
      <w:r w:rsidR="00D1102C">
        <w:rPr>
          <w:rFonts w:ascii="Arial" w:hAnsi="Arial"/>
        </w:rPr>
        <w:t xml:space="preserve"> September 2022</w:t>
      </w:r>
      <w:r w:rsidRPr="0C18B594">
        <w:rPr>
          <w:rFonts w:ascii="Arial" w:hAnsi="Arial"/>
        </w:rPr>
        <w:t xml:space="preserve">.  </w:t>
      </w:r>
    </w:p>
    <w:p w14:paraId="2285E252" w14:textId="6286E4CB" w:rsidR="003363CA" w:rsidRDefault="00184040" w:rsidP="00AC32B9">
      <w:pPr>
        <w:jc w:val="both"/>
        <w:rPr>
          <w:rFonts w:ascii="Arial" w:hAnsi="Arial" w:cs="Arial"/>
          <w:sz w:val="24"/>
          <w:szCs w:val="24"/>
        </w:rPr>
      </w:pPr>
      <w:r w:rsidRPr="000B5D34">
        <w:rPr>
          <w:rFonts w:ascii="Arial" w:hAnsi="Arial" w:cs="Arial"/>
          <w:sz w:val="24"/>
          <w:szCs w:val="24"/>
        </w:rPr>
        <w:t xml:space="preserve">The Panel has now considered the </w:t>
      </w:r>
      <w:r w:rsidR="00D87676">
        <w:rPr>
          <w:rFonts w:ascii="Arial" w:hAnsi="Arial" w:cs="Arial"/>
          <w:sz w:val="24"/>
          <w:szCs w:val="24"/>
        </w:rPr>
        <w:t>P</w:t>
      </w:r>
      <w:r w:rsidR="0046284C">
        <w:rPr>
          <w:rFonts w:ascii="Arial" w:hAnsi="Arial" w:cs="Arial"/>
          <w:sz w:val="24"/>
          <w:szCs w:val="24"/>
        </w:rPr>
        <w:t xml:space="preserve">roposal </w:t>
      </w:r>
      <w:r w:rsidRPr="000B5D34">
        <w:rPr>
          <w:rFonts w:ascii="Arial" w:hAnsi="Arial" w:cs="Arial"/>
          <w:sz w:val="24"/>
          <w:szCs w:val="24"/>
        </w:rPr>
        <w:t xml:space="preserve">and </w:t>
      </w:r>
      <w:r w:rsidR="005B1236" w:rsidRPr="000B5D34">
        <w:rPr>
          <w:rFonts w:ascii="Arial" w:hAnsi="Arial" w:cs="Arial"/>
          <w:sz w:val="24"/>
          <w:szCs w:val="24"/>
        </w:rPr>
        <w:t xml:space="preserve">I have set out below the </w:t>
      </w:r>
      <w:r w:rsidR="00D87676">
        <w:rPr>
          <w:rFonts w:ascii="Arial" w:hAnsi="Arial" w:cs="Arial"/>
          <w:sz w:val="24"/>
          <w:szCs w:val="24"/>
        </w:rPr>
        <w:t>details of the P</w:t>
      </w:r>
      <w:r w:rsidR="00724253">
        <w:rPr>
          <w:rFonts w:ascii="Arial" w:hAnsi="Arial" w:cs="Arial"/>
          <w:sz w:val="24"/>
          <w:szCs w:val="24"/>
        </w:rPr>
        <w:t>roposal</w:t>
      </w:r>
      <w:r w:rsidR="005B1236" w:rsidRPr="000B5D34">
        <w:rPr>
          <w:rFonts w:ascii="Arial" w:hAnsi="Arial" w:cs="Arial"/>
          <w:sz w:val="24"/>
          <w:szCs w:val="24"/>
        </w:rPr>
        <w:t xml:space="preserve">, the Panel’s process </w:t>
      </w:r>
      <w:r w:rsidR="00F555F8" w:rsidRPr="000B5D34">
        <w:rPr>
          <w:rFonts w:ascii="Arial" w:hAnsi="Arial" w:cs="Arial"/>
          <w:sz w:val="24"/>
          <w:szCs w:val="24"/>
        </w:rPr>
        <w:t>for</w:t>
      </w:r>
      <w:r w:rsidR="005B1236" w:rsidRPr="000B5D34">
        <w:rPr>
          <w:rFonts w:ascii="Arial" w:hAnsi="Arial" w:cs="Arial"/>
          <w:sz w:val="24"/>
          <w:szCs w:val="24"/>
        </w:rPr>
        <w:t xml:space="preserve"> consideration of it, and finally the Panel</w:t>
      </w:r>
      <w:r w:rsidR="0096435E">
        <w:rPr>
          <w:rFonts w:ascii="Arial" w:hAnsi="Arial" w:cs="Arial"/>
          <w:sz w:val="24"/>
          <w:szCs w:val="24"/>
        </w:rPr>
        <w:t>’s recommendation to Ofwat</w:t>
      </w:r>
      <w:r w:rsidR="005B1236" w:rsidRPr="000B5D34">
        <w:rPr>
          <w:rFonts w:ascii="Arial" w:hAnsi="Arial" w:cs="Arial"/>
          <w:sz w:val="24"/>
          <w:szCs w:val="24"/>
        </w:rPr>
        <w:t xml:space="preserve"> on the </w:t>
      </w:r>
      <w:r w:rsidR="00724253">
        <w:rPr>
          <w:rFonts w:ascii="Arial" w:hAnsi="Arial" w:cs="Arial"/>
          <w:sz w:val="24"/>
          <w:szCs w:val="24"/>
        </w:rPr>
        <w:t>proposal</w:t>
      </w:r>
      <w:r w:rsidR="005D627B" w:rsidRPr="000B5D34">
        <w:rPr>
          <w:rFonts w:ascii="Arial" w:hAnsi="Arial" w:cs="Arial"/>
          <w:sz w:val="24"/>
          <w:szCs w:val="24"/>
        </w:rPr>
        <w:t>.</w:t>
      </w:r>
    </w:p>
    <w:p w14:paraId="71FCC92D" w14:textId="66A48964" w:rsidR="00355FDB" w:rsidRDefault="00355FDB" w:rsidP="00AC32B9">
      <w:pPr>
        <w:jc w:val="both"/>
        <w:rPr>
          <w:rFonts w:ascii="Arial" w:hAnsi="Arial" w:cs="Arial"/>
          <w:sz w:val="24"/>
          <w:szCs w:val="24"/>
        </w:rPr>
      </w:pPr>
      <w:r>
        <w:rPr>
          <w:rFonts w:ascii="Arial" w:hAnsi="Arial" w:cs="Arial"/>
          <w:sz w:val="24"/>
          <w:szCs w:val="24"/>
        </w:rPr>
        <w:t xml:space="preserve">I enclose a copy of the </w:t>
      </w:r>
      <w:r w:rsidR="00D87676">
        <w:rPr>
          <w:rFonts w:ascii="Arial" w:hAnsi="Arial" w:cs="Arial"/>
          <w:sz w:val="24"/>
          <w:szCs w:val="24"/>
        </w:rPr>
        <w:t>P</w:t>
      </w:r>
      <w:r>
        <w:rPr>
          <w:rFonts w:ascii="Arial" w:hAnsi="Arial" w:cs="Arial"/>
          <w:sz w:val="24"/>
          <w:szCs w:val="24"/>
        </w:rPr>
        <w:t xml:space="preserve">roposal with this letter </w:t>
      </w:r>
      <w:r w:rsidR="002014AB">
        <w:rPr>
          <w:rFonts w:ascii="Arial" w:hAnsi="Arial" w:cs="Arial"/>
          <w:sz w:val="24"/>
          <w:szCs w:val="24"/>
        </w:rPr>
        <w:t>as an appendix and for ease of reference</w:t>
      </w:r>
      <w:r>
        <w:rPr>
          <w:rFonts w:ascii="Arial" w:hAnsi="Arial" w:cs="Arial"/>
          <w:sz w:val="24"/>
          <w:szCs w:val="24"/>
        </w:rPr>
        <w:t>.</w:t>
      </w:r>
    </w:p>
    <w:p w14:paraId="5AB139BD" w14:textId="65A94B72" w:rsidR="00D74228" w:rsidRPr="00DB5ADA" w:rsidRDefault="00D74228" w:rsidP="00AC32B9">
      <w:pPr>
        <w:jc w:val="both"/>
        <w:rPr>
          <w:rFonts w:ascii="Arial" w:hAnsi="Arial" w:cs="Arial"/>
          <w:b/>
          <w:bCs/>
          <w:sz w:val="24"/>
          <w:szCs w:val="24"/>
          <w:u w:val="single"/>
        </w:rPr>
      </w:pPr>
      <w:r w:rsidRPr="00DB5ADA">
        <w:rPr>
          <w:rFonts w:ascii="Arial" w:hAnsi="Arial" w:cs="Arial"/>
          <w:b/>
          <w:bCs/>
          <w:sz w:val="24"/>
          <w:szCs w:val="24"/>
          <w:u w:val="single"/>
        </w:rPr>
        <w:t xml:space="preserve">The </w:t>
      </w:r>
      <w:r w:rsidR="00724253" w:rsidRPr="00DB5ADA">
        <w:rPr>
          <w:rFonts w:ascii="Arial" w:hAnsi="Arial" w:cs="Arial"/>
          <w:b/>
          <w:bCs/>
          <w:sz w:val="24"/>
          <w:szCs w:val="24"/>
          <w:u w:val="single"/>
        </w:rPr>
        <w:t>Proposa</w:t>
      </w:r>
      <w:r w:rsidR="00BF4CD9" w:rsidRPr="00DB5ADA">
        <w:rPr>
          <w:rFonts w:ascii="Arial" w:hAnsi="Arial" w:cs="Arial"/>
          <w:b/>
          <w:bCs/>
          <w:sz w:val="24"/>
          <w:szCs w:val="24"/>
          <w:u w:val="single"/>
        </w:rPr>
        <w:t>l</w:t>
      </w:r>
    </w:p>
    <w:p w14:paraId="739181AD" w14:textId="26674574" w:rsidR="0C18B594" w:rsidRDefault="0C18B594" w:rsidP="0C18B594">
      <w:pPr>
        <w:spacing w:after="140" w:line="276" w:lineRule="auto"/>
        <w:jc w:val="both"/>
        <w:rPr>
          <w:rFonts w:ascii="Arial" w:hAnsi="Arial"/>
          <w:i/>
          <w:iCs/>
          <w:sz w:val="24"/>
          <w:szCs w:val="24"/>
        </w:rPr>
      </w:pPr>
      <w:r w:rsidRPr="0C18B594">
        <w:rPr>
          <w:rFonts w:ascii="Arial" w:hAnsi="Arial"/>
          <w:sz w:val="24"/>
          <w:szCs w:val="24"/>
        </w:rPr>
        <w:t xml:space="preserve">In the Change Proposal form submitted to the Panel, FWC stated that: </w:t>
      </w:r>
      <w:r w:rsidR="00FB56A1" w:rsidRPr="00FB56A1">
        <w:rPr>
          <w:rFonts w:ascii="Arial" w:hAnsi="Arial"/>
          <w:i/>
          <w:iCs/>
          <w:sz w:val="24"/>
          <w:szCs w:val="24"/>
        </w:rPr>
        <w:t xml:space="preserve">Companies require a meter, for charging purposes, to be fitted on each new connection. Whilst many companies make the provision of such meters a contestable activity (i.e. SLPs are free to purchase meters themselves) around a third of companies specify that the meters need to be obtained through themselves, or their nominated supplier. SLPs have, on a number of occasions, found difficulties in being able to deliver new water connections in accordance with their developer customer’s build profile because supplies of non-contestable (so company provided) meters have been restricted. This </w:t>
      </w:r>
      <w:r w:rsidR="00FB56A1" w:rsidRPr="00FB56A1">
        <w:rPr>
          <w:rFonts w:ascii="Arial" w:hAnsi="Arial"/>
          <w:i/>
          <w:iCs/>
          <w:sz w:val="24"/>
          <w:szCs w:val="24"/>
        </w:rPr>
        <w:lastRenderedPageBreak/>
        <w:t>has caused SLPs to incur one-off meter pick-up costs, and delays, through only being allowed to get a few meters at a time.</w:t>
      </w:r>
    </w:p>
    <w:p w14:paraId="709FF1B5" w14:textId="39A4E363" w:rsidR="000C4DC5" w:rsidRPr="00FB56A1" w:rsidRDefault="000C4DC5" w:rsidP="0C18B594">
      <w:pPr>
        <w:spacing w:after="140" w:line="276" w:lineRule="auto"/>
        <w:jc w:val="both"/>
        <w:rPr>
          <w:rFonts w:ascii="Arial" w:eastAsia="Arial" w:hAnsi="Arial" w:cs="Arial"/>
          <w:i/>
          <w:iCs/>
          <w:color w:val="000000" w:themeColor="text1"/>
          <w:sz w:val="24"/>
          <w:szCs w:val="24"/>
        </w:rPr>
      </w:pPr>
      <w:r w:rsidRPr="000C4DC5">
        <w:rPr>
          <w:rFonts w:ascii="Arial" w:eastAsia="Arial" w:hAnsi="Arial" w:cs="Arial"/>
          <w:i/>
          <w:iCs/>
          <w:color w:val="000000" w:themeColor="text1"/>
          <w:sz w:val="24"/>
          <w:szCs w:val="24"/>
        </w:rPr>
        <w:t>Hence this change proposal is aimed at addressing procedural shortcomings to ensure that when a company makes meter provision a non-contestable activity this does not disadvantage SLPs.</w:t>
      </w:r>
    </w:p>
    <w:p w14:paraId="51EBE95B" w14:textId="3AD147A6" w:rsidR="0C18B594" w:rsidRDefault="0C18B594" w:rsidP="00FB56A1">
      <w:pPr>
        <w:spacing w:after="140" w:line="276" w:lineRule="auto"/>
        <w:jc w:val="both"/>
        <w:rPr>
          <w:rFonts w:ascii="Arial" w:hAnsi="Arial"/>
          <w:sz w:val="24"/>
          <w:szCs w:val="24"/>
        </w:rPr>
      </w:pPr>
      <w:r w:rsidRPr="0C18B594">
        <w:rPr>
          <w:rFonts w:ascii="Arial" w:hAnsi="Arial"/>
          <w:sz w:val="24"/>
          <w:szCs w:val="24"/>
        </w:rPr>
        <w:t>FWC propose</w:t>
      </w:r>
      <w:r w:rsidR="000C4DC5">
        <w:rPr>
          <w:rFonts w:ascii="Arial" w:hAnsi="Arial"/>
          <w:sz w:val="24"/>
          <w:szCs w:val="24"/>
        </w:rPr>
        <w:t>d the following changes to the Code documentation:</w:t>
      </w:r>
    </w:p>
    <w:p w14:paraId="7C0258E5" w14:textId="77777777" w:rsidR="00814E3C" w:rsidRPr="003D292B" w:rsidRDefault="00CE16C9" w:rsidP="00757355">
      <w:pPr>
        <w:pStyle w:val="ListParagraph"/>
        <w:numPr>
          <w:ilvl w:val="0"/>
          <w:numId w:val="15"/>
        </w:numPr>
        <w:spacing w:after="140" w:line="276" w:lineRule="auto"/>
        <w:jc w:val="both"/>
        <w:rPr>
          <w:rFonts w:ascii="Arial" w:eastAsia="Arial" w:hAnsi="Arial"/>
          <w:sz w:val="24"/>
          <w:szCs w:val="24"/>
        </w:rPr>
      </w:pPr>
      <w:r w:rsidRPr="003D292B">
        <w:rPr>
          <w:rFonts w:ascii="Arial" w:eastAsia="Arial" w:hAnsi="Arial"/>
          <w:sz w:val="24"/>
          <w:szCs w:val="24"/>
        </w:rPr>
        <w:t>Section 3.2 of the Water Sector Guidance</w:t>
      </w:r>
      <w:r w:rsidR="00757355" w:rsidRPr="003D292B">
        <w:rPr>
          <w:rFonts w:ascii="Arial" w:eastAsia="Arial" w:hAnsi="Arial"/>
          <w:sz w:val="24"/>
          <w:szCs w:val="24"/>
        </w:rPr>
        <w:t xml:space="preserve"> - Annual Contestability Summary</w:t>
      </w:r>
      <w:r w:rsidR="00814E3C" w:rsidRPr="003D292B">
        <w:rPr>
          <w:rFonts w:ascii="Arial" w:eastAsia="Arial" w:hAnsi="Arial"/>
          <w:sz w:val="24"/>
          <w:szCs w:val="24"/>
        </w:rPr>
        <w:t xml:space="preserve">: </w:t>
      </w:r>
      <w:r w:rsidRPr="003D292B">
        <w:rPr>
          <w:rFonts w:ascii="Arial" w:eastAsia="Arial" w:hAnsi="Arial"/>
          <w:sz w:val="24"/>
          <w:szCs w:val="24"/>
        </w:rPr>
        <w:t xml:space="preserve">a new category (preferably immediately after the current “construction of new mains and service connections”) called: “Purchase of service connection meters from own supplier”. This to be shown:- </w:t>
      </w:r>
    </w:p>
    <w:p w14:paraId="01F209B1" w14:textId="77777777" w:rsidR="00814E3C" w:rsidRPr="003D292B" w:rsidRDefault="00CE16C9" w:rsidP="00814E3C">
      <w:pPr>
        <w:pStyle w:val="ListParagraph"/>
        <w:numPr>
          <w:ilvl w:val="1"/>
          <w:numId w:val="15"/>
        </w:numPr>
        <w:spacing w:after="140" w:line="276" w:lineRule="auto"/>
        <w:jc w:val="both"/>
        <w:rPr>
          <w:rFonts w:ascii="Arial" w:eastAsia="Arial" w:hAnsi="Arial"/>
          <w:sz w:val="24"/>
          <w:szCs w:val="24"/>
        </w:rPr>
      </w:pPr>
      <w:r w:rsidRPr="003D292B">
        <w:rPr>
          <w:rFonts w:ascii="Arial" w:eastAsia="Arial" w:hAnsi="Arial"/>
          <w:sz w:val="24"/>
          <w:szCs w:val="24"/>
        </w:rPr>
        <w:t xml:space="preserve">(unlikely to arise) in green should the SLP be free to select their own meter; and, </w:t>
      </w:r>
    </w:p>
    <w:p w14:paraId="38F330F4" w14:textId="77777777" w:rsidR="00814E3C" w:rsidRPr="003D292B" w:rsidRDefault="00CE16C9" w:rsidP="00814E3C">
      <w:pPr>
        <w:pStyle w:val="ListParagraph"/>
        <w:numPr>
          <w:ilvl w:val="1"/>
          <w:numId w:val="15"/>
        </w:numPr>
        <w:spacing w:after="140" w:line="276" w:lineRule="auto"/>
        <w:jc w:val="both"/>
        <w:rPr>
          <w:rFonts w:ascii="Arial" w:eastAsia="Arial" w:hAnsi="Arial"/>
          <w:sz w:val="24"/>
          <w:szCs w:val="24"/>
        </w:rPr>
      </w:pPr>
      <w:r w:rsidRPr="003D292B">
        <w:rPr>
          <w:rFonts w:ascii="Arial" w:eastAsia="Arial" w:hAnsi="Arial"/>
          <w:sz w:val="24"/>
          <w:szCs w:val="24"/>
        </w:rPr>
        <w:t xml:space="preserve">in amber when a SLP is free to purchase meters themselves to a company specification (as prescribed in Section 22 of the DCS); and, </w:t>
      </w:r>
    </w:p>
    <w:p w14:paraId="39163A03" w14:textId="5FABBAD5" w:rsidR="000C4DC5" w:rsidRDefault="00CE16C9" w:rsidP="00814E3C">
      <w:pPr>
        <w:pStyle w:val="ListParagraph"/>
        <w:numPr>
          <w:ilvl w:val="1"/>
          <w:numId w:val="15"/>
        </w:numPr>
        <w:spacing w:after="140" w:line="276" w:lineRule="auto"/>
        <w:jc w:val="both"/>
        <w:rPr>
          <w:rFonts w:ascii="Arial" w:eastAsia="Arial" w:hAnsi="Arial"/>
          <w:sz w:val="24"/>
          <w:szCs w:val="24"/>
        </w:rPr>
      </w:pPr>
      <w:r w:rsidRPr="003D292B">
        <w:rPr>
          <w:rFonts w:ascii="Arial" w:eastAsia="Arial" w:hAnsi="Arial"/>
          <w:sz w:val="24"/>
          <w:szCs w:val="24"/>
        </w:rPr>
        <w:t>in red where meters have to be supplied by a company or their nominated supplier.</w:t>
      </w:r>
    </w:p>
    <w:p w14:paraId="5A749B15" w14:textId="77777777" w:rsidR="0002000C" w:rsidRDefault="0002000C" w:rsidP="003D292B">
      <w:pPr>
        <w:pStyle w:val="ListParagraph"/>
        <w:numPr>
          <w:ilvl w:val="0"/>
          <w:numId w:val="15"/>
        </w:numPr>
        <w:spacing w:after="140" w:line="276" w:lineRule="auto"/>
        <w:jc w:val="both"/>
        <w:rPr>
          <w:rFonts w:ascii="Arial" w:eastAsia="Arial" w:hAnsi="Arial"/>
          <w:sz w:val="24"/>
          <w:szCs w:val="24"/>
        </w:rPr>
      </w:pPr>
      <w:r w:rsidRPr="0002000C">
        <w:rPr>
          <w:rFonts w:ascii="Arial" w:eastAsia="Arial" w:hAnsi="Arial"/>
          <w:sz w:val="24"/>
          <w:szCs w:val="24"/>
        </w:rPr>
        <w:t>Stage 7 (Make Water Connection) of the Water Procedures by:</w:t>
      </w:r>
    </w:p>
    <w:p w14:paraId="1CE97B3A" w14:textId="4F79846D" w:rsidR="0002000C" w:rsidRDefault="0002000C" w:rsidP="0002000C">
      <w:pPr>
        <w:pStyle w:val="ListParagraph"/>
        <w:numPr>
          <w:ilvl w:val="1"/>
          <w:numId w:val="15"/>
        </w:numPr>
        <w:spacing w:after="140" w:line="276" w:lineRule="auto"/>
        <w:jc w:val="both"/>
        <w:rPr>
          <w:rFonts w:ascii="Arial" w:eastAsia="Arial" w:hAnsi="Arial"/>
          <w:sz w:val="24"/>
          <w:szCs w:val="24"/>
        </w:rPr>
      </w:pPr>
      <w:r w:rsidRPr="0002000C">
        <w:rPr>
          <w:rFonts w:ascii="Arial" w:eastAsia="Arial" w:hAnsi="Arial"/>
          <w:sz w:val="24"/>
          <w:szCs w:val="24"/>
        </w:rPr>
        <w:t xml:space="preserve">Adding new note after Note 7.0 This note to read:- Where service connection meter provision is non-contestable a water company shall  ensure that a SLP is able to call off, and be supplied with, meters in such quantities as are necessary for them to complete the works covered by the Agreement (or whatever lower number of meters is said to be necessary by the SLP for them to complete connections in accordance with the envisaged developer’s build programme). </w:t>
      </w:r>
    </w:p>
    <w:p w14:paraId="55A1D137" w14:textId="50F70551" w:rsidR="00533D5E" w:rsidRPr="001559E0" w:rsidRDefault="0002000C" w:rsidP="0C18B594">
      <w:pPr>
        <w:pStyle w:val="ListParagraph"/>
        <w:numPr>
          <w:ilvl w:val="1"/>
          <w:numId w:val="15"/>
        </w:numPr>
        <w:spacing w:after="140" w:line="276" w:lineRule="auto"/>
        <w:jc w:val="both"/>
        <w:rPr>
          <w:rFonts w:ascii="Arial" w:eastAsia="Arial" w:hAnsi="Arial"/>
          <w:sz w:val="24"/>
          <w:szCs w:val="24"/>
        </w:rPr>
      </w:pPr>
      <w:r w:rsidRPr="0002000C">
        <w:rPr>
          <w:rFonts w:ascii="Arial" w:eastAsia="Arial" w:hAnsi="Arial"/>
          <w:sz w:val="24"/>
          <w:szCs w:val="24"/>
        </w:rPr>
        <w:t>Adding a further new note (after Note 7.8) This note to read:- Where service connection meter provision is non-contestable and a SLP has either not been able to obtain requested meters, or the supply is so restricted as to lead to them incurring additional delivery/pick-up charges, the SLP can proceed with making service connections and fitting a plug instead of a meter. Where this arises the connection notification from the SLP shall inform the water company of the situation with the subsequent meter fitting to be arranged by the water company and at their</w:t>
      </w:r>
      <w:r w:rsidR="00B67CB9">
        <w:rPr>
          <w:rFonts w:ascii="Arial" w:eastAsia="Arial" w:hAnsi="Arial"/>
          <w:sz w:val="24"/>
          <w:szCs w:val="24"/>
        </w:rPr>
        <w:t xml:space="preserve"> cost.</w:t>
      </w:r>
    </w:p>
    <w:p w14:paraId="3A1E4742" w14:textId="4647B3E3" w:rsidR="00AA5557" w:rsidRPr="002D5C5F" w:rsidRDefault="00AC32B9" w:rsidP="002D5C5F">
      <w:pPr>
        <w:jc w:val="both"/>
        <w:rPr>
          <w:rFonts w:ascii="Arial" w:hAnsi="Arial" w:cs="Arial"/>
          <w:b/>
          <w:bCs/>
          <w:sz w:val="24"/>
          <w:szCs w:val="24"/>
          <w:u w:val="single"/>
        </w:rPr>
      </w:pPr>
      <w:r w:rsidRPr="000B5D34">
        <w:rPr>
          <w:rFonts w:ascii="Arial" w:hAnsi="Arial" w:cs="Arial"/>
          <w:b/>
          <w:bCs/>
          <w:sz w:val="24"/>
          <w:szCs w:val="24"/>
          <w:u w:val="single"/>
        </w:rPr>
        <w:t xml:space="preserve">The Panel’s consideration of the </w:t>
      </w:r>
      <w:r w:rsidR="00FF673A">
        <w:rPr>
          <w:rFonts w:ascii="Arial" w:hAnsi="Arial" w:cs="Arial"/>
          <w:b/>
          <w:bCs/>
          <w:sz w:val="24"/>
          <w:szCs w:val="24"/>
          <w:u w:val="single"/>
        </w:rPr>
        <w:t>P</w:t>
      </w:r>
      <w:r w:rsidR="007D78E7">
        <w:rPr>
          <w:rFonts w:ascii="Arial" w:hAnsi="Arial" w:cs="Arial"/>
          <w:b/>
          <w:bCs/>
          <w:sz w:val="24"/>
          <w:szCs w:val="24"/>
          <w:u w:val="single"/>
        </w:rPr>
        <w:t xml:space="preserve">roposal </w:t>
      </w:r>
      <w:r w:rsidR="001559E0">
        <w:rPr>
          <w:rFonts w:ascii="Arial" w:hAnsi="Arial" w:cs="Arial"/>
          <w:b/>
          <w:bCs/>
          <w:sz w:val="24"/>
          <w:szCs w:val="24"/>
          <w:u w:val="single"/>
        </w:rPr>
        <w:t>and consultation</w:t>
      </w:r>
    </w:p>
    <w:p w14:paraId="5DCFD919" w14:textId="0F870116" w:rsidR="0052262F" w:rsidRDefault="0C18B594" w:rsidP="001C1C17">
      <w:pPr>
        <w:pStyle w:val="TableContents"/>
        <w:jc w:val="both"/>
        <w:rPr>
          <w:rFonts w:ascii="Arial" w:hAnsi="Arial"/>
        </w:rPr>
      </w:pPr>
      <w:r w:rsidRPr="0C18B594">
        <w:rPr>
          <w:rFonts w:ascii="Arial" w:hAnsi="Arial"/>
        </w:rPr>
        <w:t xml:space="preserve">The Panel considered the Proposal at meetings on </w:t>
      </w:r>
      <w:r w:rsidR="00CD0D9B">
        <w:rPr>
          <w:rFonts w:ascii="Arial" w:hAnsi="Arial"/>
        </w:rPr>
        <w:t>4 October 2022</w:t>
      </w:r>
      <w:r w:rsidR="00C7636E">
        <w:rPr>
          <w:rFonts w:ascii="Arial" w:hAnsi="Arial"/>
        </w:rPr>
        <w:t xml:space="preserve">, </w:t>
      </w:r>
      <w:r w:rsidR="00CD0D9B">
        <w:rPr>
          <w:rFonts w:ascii="Arial" w:hAnsi="Arial"/>
        </w:rPr>
        <w:t>18 November 2022</w:t>
      </w:r>
      <w:r w:rsidR="00C7636E">
        <w:rPr>
          <w:rFonts w:ascii="Arial" w:hAnsi="Arial"/>
        </w:rPr>
        <w:t xml:space="preserve"> and 9 February 2023</w:t>
      </w:r>
      <w:r w:rsidRPr="0C18B594">
        <w:rPr>
          <w:rFonts w:ascii="Arial" w:hAnsi="Arial"/>
        </w:rPr>
        <w:t xml:space="preserve">.  </w:t>
      </w:r>
    </w:p>
    <w:p w14:paraId="4143D8A0" w14:textId="2AEDD9F0" w:rsidR="0C18B594" w:rsidRDefault="0C18B594" w:rsidP="0C18B594">
      <w:pPr>
        <w:pStyle w:val="TableContents"/>
        <w:jc w:val="both"/>
      </w:pPr>
    </w:p>
    <w:p w14:paraId="2E6A561B" w14:textId="1F4DD4E4" w:rsidR="00F177ED" w:rsidRDefault="00F177ED" w:rsidP="001C1C17">
      <w:pPr>
        <w:pStyle w:val="TableContents"/>
        <w:jc w:val="both"/>
        <w:rPr>
          <w:rFonts w:ascii="Arial" w:hAnsi="Arial"/>
        </w:rPr>
      </w:pPr>
      <w:r>
        <w:rPr>
          <w:rFonts w:ascii="Arial" w:hAnsi="Arial"/>
        </w:rPr>
        <w:t xml:space="preserve">In considering the </w:t>
      </w:r>
      <w:r w:rsidR="00B33224">
        <w:rPr>
          <w:rFonts w:ascii="Arial" w:hAnsi="Arial"/>
        </w:rPr>
        <w:t>Proposal</w:t>
      </w:r>
      <w:r>
        <w:rPr>
          <w:rFonts w:ascii="Arial" w:hAnsi="Arial"/>
        </w:rPr>
        <w:t>, the Panel has:</w:t>
      </w:r>
    </w:p>
    <w:p w14:paraId="2EDA3CD7" w14:textId="10BDCD4C" w:rsidR="001433A2" w:rsidRDefault="0C18B594" w:rsidP="001433A2">
      <w:pPr>
        <w:pStyle w:val="TableContents"/>
        <w:numPr>
          <w:ilvl w:val="0"/>
          <w:numId w:val="7"/>
        </w:numPr>
        <w:jc w:val="both"/>
        <w:rPr>
          <w:rFonts w:ascii="Arial" w:hAnsi="Arial"/>
        </w:rPr>
      </w:pPr>
      <w:r w:rsidRPr="0C18B594">
        <w:rPr>
          <w:rFonts w:ascii="Arial" w:hAnsi="Arial"/>
        </w:rPr>
        <w:t>discussed the Proposal at t</w:t>
      </w:r>
      <w:r w:rsidR="00C7636E">
        <w:rPr>
          <w:rFonts w:ascii="Arial" w:hAnsi="Arial"/>
        </w:rPr>
        <w:t>hree</w:t>
      </w:r>
      <w:r w:rsidRPr="0C18B594">
        <w:rPr>
          <w:rFonts w:ascii="Arial" w:hAnsi="Arial"/>
        </w:rPr>
        <w:t xml:space="preserve"> meetings</w:t>
      </w:r>
    </w:p>
    <w:p w14:paraId="40E0BE4A" w14:textId="7544A9F9" w:rsidR="00B6640A" w:rsidRDefault="0C18B594" w:rsidP="001433A2">
      <w:pPr>
        <w:pStyle w:val="TableContents"/>
        <w:numPr>
          <w:ilvl w:val="0"/>
          <w:numId w:val="7"/>
        </w:numPr>
        <w:jc w:val="both"/>
        <w:rPr>
          <w:rFonts w:ascii="Arial" w:hAnsi="Arial"/>
        </w:rPr>
      </w:pPr>
      <w:r w:rsidRPr="0C18B594">
        <w:rPr>
          <w:rFonts w:ascii="Arial" w:hAnsi="Arial"/>
        </w:rPr>
        <w:t>sought feedback from members’ companies</w:t>
      </w:r>
    </w:p>
    <w:p w14:paraId="5DFD2C39" w14:textId="616DA945" w:rsidR="00CD0D9B" w:rsidRDefault="004A26BC" w:rsidP="001433A2">
      <w:pPr>
        <w:pStyle w:val="TableContents"/>
        <w:numPr>
          <w:ilvl w:val="0"/>
          <w:numId w:val="7"/>
        </w:numPr>
        <w:jc w:val="both"/>
        <w:rPr>
          <w:rFonts w:ascii="Arial" w:hAnsi="Arial"/>
        </w:rPr>
      </w:pPr>
      <w:r>
        <w:rPr>
          <w:rFonts w:ascii="Arial" w:hAnsi="Arial"/>
        </w:rPr>
        <w:t xml:space="preserve">asked for additional information from FWC to clarify the problem definition for the proposal and </w:t>
      </w:r>
      <w:r w:rsidR="009D7B8D">
        <w:rPr>
          <w:rFonts w:ascii="Arial" w:hAnsi="Arial"/>
        </w:rPr>
        <w:t xml:space="preserve">explain the </w:t>
      </w:r>
      <w:r>
        <w:rPr>
          <w:rFonts w:ascii="Arial" w:hAnsi="Arial"/>
        </w:rPr>
        <w:t>scale of the issue</w:t>
      </w:r>
      <w:r w:rsidR="009D7B8D">
        <w:rPr>
          <w:rFonts w:ascii="Arial" w:hAnsi="Arial"/>
        </w:rPr>
        <w:t xml:space="preserve"> across the sector</w:t>
      </w:r>
      <w:r>
        <w:rPr>
          <w:rFonts w:ascii="Arial" w:hAnsi="Arial"/>
        </w:rPr>
        <w:t xml:space="preserve"> </w:t>
      </w:r>
    </w:p>
    <w:p w14:paraId="51327FAB" w14:textId="5C798585" w:rsidR="00C27E66" w:rsidRDefault="00C27E66" w:rsidP="001433A2">
      <w:pPr>
        <w:pStyle w:val="TableContents"/>
        <w:numPr>
          <w:ilvl w:val="0"/>
          <w:numId w:val="7"/>
        </w:numPr>
        <w:jc w:val="both"/>
        <w:rPr>
          <w:rFonts w:ascii="Arial" w:hAnsi="Arial"/>
        </w:rPr>
      </w:pPr>
      <w:r>
        <w:rPr>
          <w:rFonts w:ascii="Arial" w:hAnsi="Arial"/>
        </w:rPr>
        <w:t>consulted with FWC on its proposed recommendation</w:t>
      </w:r>
      <w:r w:rsidR="00C7636E">
        <w:rPr>
          <w:rFonts w:ascii="Arial" w:hAnsi="Arial"/>
        </w:rPr>
        <w:t>.</w:t>
      </w:r>
    </w:p>
    <w:p w14:paraId="1E84DD0A" w14:textId="77777777" w:rsidR="002D1473" w:rsidRPr="002D1473" w:rsidRDefault="002D1473" w:rsidP="002D1473">
      <w:pPr>
        <w:pStyle w:val="TableContents"/>
        <w:ind w:left="720"/>
        <w:jc w:val="both"/>
        <w:rPr>
          <w:rFonts w:ascii="Arial" w:hAnsi="Arial"/>
        </w:rPr>
      </w:pPr>
    </w:p>
    <w:p w14:paraId="11AE7EFF" w14:textId="57C72203" w:rsidR="00BF4CD9" w:rsidRDefault="0C18B594" w:rsidP="001433A2">
      <w:pPr>
        <w:pStyle w:val="TableContents"/>
        <w:jc w:val="both"/>
        <w:rPr>
          <w:rFonts w:ascii="Arial" w:hAnsi="Arial"/>
        </w:rPr>
      </w:pPr>
      <w:r w:rsidRPr="0C18B594">
        <w:rPr>
          <w:rFonts w:ascii="Arial" w:hAnsi="Arial"/>
        </w:rPr>
        <w:t xml:space="preserve">The minutes of the Panel’s meetings when the Proposal was discussed are also enclosed as appendices. </w:t>
      </w:r>
      <w:r w:rsidR="009D7B8D">
        <w:rPr>
          <w:rFonts w:ascii="Arial" w:hAnsi="Arial"/>
        </w:rPr>
        <w:t xml:space="preserve">The </w:t>
      </w:r>
      <w:r w:rsidR="00383A4A">
        <w:rPr>
          <w:rFonts w:ascii="Arial" w:hAnsi="Arial"/>
        </w:rPr>
        <w:t xml:space="preserve">document setting out the </w:t>
      </w:r>
      <w:r w:rsidR="009D7B8D">
        <w:rPr>
          <w:rFonts w:ascii="Arial" w:hAnsi="Arial"/>
        </w:rPr>
        <w:t>additional information provided by FWC in response to the Panel’s request is also enclosed.</w:t>
      </w:r>
    </w:p>
    <w:p w14:paraId="1CCD38C2" w14:textId="77777777" w:rsidR="001559E0" w:rsidRDefault="001559E0" w:rsidP="001433A2">
      <w:pPr>
        <w:pStyle w:val="TableContents"/>
        <w:jc w:val="both"/>
        <w:rPr>
          <w:rFonts w:ascii="Arial" w:hAnsi="Arial"/>
        </w:rPr>
      </w:pPr>
    </w:p>
    <w:p w14:paraId="5BC66160" w14:textId="77777777" w:rsidR="00592F4C" w:rsidRDefault="001559E0" w:rsidP="001433A2">
      <w:pPr>
        <w:pStyle w:val="TableContents"/>
        <w:jc w:val="both"/>
        <w:rPr>
          <w:rFonts w:ascii="Arial" w:hAnsi="Arial"/>
        </w:rPr>
      </w:pPr>
      <w:r>
        <w:rPr>
          <w:rFonts w:ascii="Arial" w:hAnsi="Arial"/>
        </w:rPr>
        <w:t xml:space="preserve">The Panel concluded that, as the proposal did not raise any water quality issues, it was not necessary to consult with the DWI on the proposal.  </w:t>
      </w:r>
    </w:p>
    <w:p w14:paraId="43EF0A42" w14:textId="77777777" w:rsidR="00C27E66" w:rsidRDefault="00C27E66" w:rsidP="001433A2">
      <w:pPr>
        <w:pStyle w:val="TableContents"/>
        <w:jc w:val="both"/>
        <w:rPr>
          <w:rFonts w:ascii="Arial" w:hAnsi="Arial"/>
        </w:rPr>
      </w:pPr>
    </w:p>
    <w:p w14:paraId="15203F4A" w14:textId="7F1B7074" w:rsidR="001559E0" w:rsidRDefault="00C27E66" w:rsidP="001433A2">
      <w:pPr>
        <w:pStyle w:val="TableContents"/>
        <w:jc w:val="both"/>
        <w:rPr>
          <w:rFonts w:ascii="Arial" w:hAnsi="Arial"/>
        </w:rPr>
      </w:pPr>
      <w:r>
        <w:rPr>
          <w:rFonts w:ascii="Arial" w:hAnsi="Arial"/>
        </w:rPr>
        <w:t xml:space="preserve">On </w:t>
      </w:r>
      <w:r w:rsidR="00137002">
        <w:rPr>
          <w:rFonts w:ascii="Arial" w:hAnsi="Arial"/>
        </w:rPr>
        <w:t>20 December 2022, t</w:t>
      </w:r>
      <w:r w:rsidR="0017797D">
        <w:rPr>
          <w:rFonts w:ascii="Arial" w:hAnsi="Arial"/>
        </w:rPr>
        <w:t xml:space="preserve">he Panel </w:t>
      </w:r>
      <w:r w:rsidR="00137002">
        <w:rPr>
          <w:rFonts w:ascii="Arial" w:hAnsi="Arial"/>
        </w:rPr>
        <w:t xml:space="preserve">wrote to FWC to </w:t>
      </w:r>
      <w:r w:rsidR="006E7555">
        <w:rPr>
          <w:rFonts w:ascii="Arial" w:hAnsi="Arial"/>
        </w:rPr>
        <w:t>advise of its proposed recommendation to Ofwat.  In response to this, FWC submitted a further document to the Panel, objecting to its proposed recommendation and asking that the Panel extend the deadline for submission of its response in order to consider the objection.  The Panel subsequently agreed with Ofwat to extend the deadline for the response until 17 February 2023 to allow it to consider FWC’s objections at its next meeting.  A copy of</w:t>
      </w:r>
      <w:r w:rsidR="007D3C53">
        <w:rPr>
          <w:rFonts w:ascii="Arial" w:hAnsi="Arial"/>
        </w:rPr>
        <w:t xml:space="preserve"> the Panel’s </w:t>
      </w:r>
      <w:r w:rsidR="00DB0E40">
        <w:rPr>
          <w:rFonts w:ascii="Arial" w:hAnsi="Arial"/>
        </w:rPr>
        <w:t>original draft</w:t>
      </w:r>
      <w:r w:rsidR="007D3C53">
        <w:rPr>
          <w:rFonts w:ascii="Arial" w:hAnsi="Arial"/>
        </w:rPr>
        <w:t xml:space="preserve"> recommendation, together with</w:t>
      </w:r>
      <w:r w:rsidR="006E7555">
        <w:rPr>
          <w:rFonts w:ascii="Arial" w:hAnsi="Arial"/>
        </w:rPr>
        <w:t xml:space="preserve"> FWC’s document </w:t>
      </w:r>
      <w:r w:rsidR="00C7636E">
        <w:rPr>
          <w:rFonts w:ascii="Arial" w:hAnsi="Arial"/>
        </w:rPr>
        <w:t xml:space="preserve">setting out its objections </w:t>
      </w:r>
      <w:r w:rsidR="00DB0E40">
        <w:rPr>
          <w:rFonts w:ascii="Arial" w:hAnsi="Arial"/>
        </w:rPr>
        <w:t xml:space="preserve">to the Panel’s </w:t>
      </w:r>
      <w:r w:rsidR="004813C6">
        <w:rPr>
          <w:rFonts w:ascii="Arial" w:hAnsi="Arial"/>
        </w:rPr>
        <w:t xml:space="preserve">draft recommendation, </w:t>
      </w:r>
      <w:r w:rsidR="007D3C53">
        <w:rPr>
          <w:rFonts w:ascii="Arial" w:hAnsi="Arial"/>
        </w:rPr>
        <w:t xml:space="preserve">are </w:t>
      </w:r>
      <w:r w:rsidR="00C7636E">
        <w:rPr>
          <w:rFonts w:ascii="Arial" w:hAnsi="Arial"/>
        </w:rPr>
        <w:t>also enclosed.</w:t>
      </w:r>
    </w:p>
    <w:p w14:paraId="47B1ABC9" w14:textId="0DA2DD60" w:rsidR="00270B83" w:rsidRDefault="000B4709" w:rsidP="002C45A3">
      <w:pPr>
        <w:pStyle w:val="TableContents"/>
        <w:jc w:val="both"/>
        <w:rPr>
          <w:rFonts w:ascii="Arial" w:hAnsi="Arial"/>
        </w:rPr>
      </w:pPr>
      <w:r>
        <w:rPr>
          <w:rFonts w:ascii="Arial" w:hAnsi="Arial"/>
        </w:rPr>
        <w:t xml:space="preserve"> </w:t>
      </w:r>
    </w:p>
    <w:p w14:paraId="059B9759" w14:textId="733C399E" w:rsidR="0034179A" w:rsidRDefault="0034179A" w:rsidP="001C1C17">
      <w:pPr>
        <w:pStyle w:val="TableContents"/>
        <w:jc w:val="both"/>
        <w:rPr>
          <w:rFonts w:ascii="Arial" w:hAnsi="Arial"/>
          <w:b/>
          <w:bCs/>
          <w:u w:val="single"/>
        </w:rPr>
      </w:pPr>
      <w:r>
        <w:rPr>
          <w:rFonts w:ascii="Arial" w:hAnsi="Arial"/>
          <w:b/>
          <w:bCs/>
          <w:u w:val="single"/>
        </w:rPr>
        <w:t xml:space="preserve">The Panel’s </w:t>
      </w:r>
      <w:r w:rsidR="00205A20">
        <w:rPr>
          <w:rFonts w:ascii="Arial" w:hAnsi="Arial"/>
          <w:b/>
          <w:bCs/>
          <w:u w:val="single"/>
        </w:rPr>
        <w:t>recommendation to Ofwat</w:t>
      </w:r>
    </w:p>
    <w:p w14:paraId="3BAD357A" w14:textId="64601BDA" w:rsidR="0034179A" w:rsidRDefault="0034179A" w:rsidP="001C1C17">
      <w:pPr>
        <w:pStyle w:val="TableContents"/>
        <w:jc w:val="both"/>
        <w:rPr>
          <w:rFonts w:ascii="Arial" w:hAnsi="Arial"/>
          <w:b/>
          <w:bCs/>
          <w:u w:val="single"/>
        </w:rPr>
      </w:pPr>
    </w:p>
    <w:p w14:paraId="08B2276B" w14:textId="4CD687A6" w:rsidR="000931A0" w:rsidRDefault="005F656A" w:rsidP="005F656A">
      <w:pPr>
        <w:pStyle w:val="TableContents"/>
        <w:jc w:val="both"/>
        <w:rPr>
          <w:rFonts w:ascii="Arial" w:hAnsi="Arial"/>
        </w:rPr>
      </w:pPr>
      <w:r>
        <w:rPr>
          <w:rFonts w:ascii="Arial" w:hAnsi="Arial"/>
        </w:rPr>
        <w:t xml:space="preserve">In </w:t>
      </w:r>
      <w:r w:rsidR="000931A0">
        <w:rPr>
          <w:rFonts w:ascii="Arial" w:hAnsi="Arial"/>
        </w:rPr>
        <w:t>accordance with its Terms of Reference</w:t>
      </w:r>
      <w:r>
        <w:rPr>
          <w:rFonts w:ascii="Arial" w:hAnsi="Arial"/>
        </w:rPr>
        <w:t>, t</w:t>
      </w:r>
      <w:r w:rsidRPr="005F656A">
        <w:rPr>
          <w:rFonts w:ascii="Arial" w:hAnsi="Arial"/>
        </w:rPr>
        <w:t xml:space="preserve">he Panel </w:t>
      </w:r>
      <w:r w:rsidR="000931A0">
        <w:rPr>
          <w:rFonts w:ascii="Arial" w:hAnsi="Arial"/>
        </w:rPr>
        <w:t>has</w:t>
      </w:r>
      <w:r w:rsidRPr="005F656A">
        <w:rPr>
          <w:rFonts w:ascii="Arial" w:hAnsi="Arial"/>
        </w:rPr>
        <w:t xml:space="preserve"> assess</w:t>
      </w:r>
      <w:r w:rsidR="000931A0">
        <w:rPr>
          <w:rFonts w:ascii="Arial" w:hAnsi="Arial"/>
        </w:rPr>
        <w:t>ed</w:t>
      </w:r>
      <w:r w:rsidRPr="005F656A">
        <w:rPr>
          <w:rFonts w:ascii="Arial" w:hAnsi="Arial"/>
        </w:rPr>
        <w:t xml:space="preserve"> </w:t>
      </w:r>
      <w:r w:rsidR="000931A0">
        <w:rPr>
          <w:rFonts w:ascii="Arial" w:hAnsi="Arial"/>
        </w:rPr>
        <w:t xml:space="preserve">the </w:t>
      </w:r>
      <w:r w:rsidR="00C010F6">
        <w:rPr>
          <w:rFonts w:ascii="Arial" w:hAnsi="Arial"/>
        </w:rPr>
        <w:t xml:space="preserve">Change Proposal </w:t>
      </w:r>
      <w:r w:rsidRPr="005F656A">
        <w:rPr>
          <w:rFonts w:ascii="Arial" w:hAnsi="Arial"/>
        </w:rPr>
        <w:t xml:space="preserve">in terms of:  </w:t>
      </w:r>
    </w:p>
    <w:p w14:paraId="3E25FB4D" w14:textId="0FC131EE" w:rsidR="005F656A" w:rsidRPr="005F656A" w:rsidRDefault="005F656A" w:rsidP="00340FAA">
      <w:pPr>
        <w:pStyle w:val="TableContents"/>
        <w:ind w:left="720"/>
        <w:jc w:val="both"/>
        <w:rPr>
          <w:rFonts w:ascii="Arial" w:hAnsi="Arial"/>
        </w:rPr>
      </w:pPr>
      <w:r w:rsidRPr="005F656A">
        <w:rPr>
          <w:rFonts w:ascii="Arial" w:hAnsi="Arial"/>
        </w:rPr>
        <w:t xml:space="preserve">(a) the need for the change, for example, is it a service improvement or is it needed to address a particular issue;  </w:t>
      </w:r>
    </w:p>
    <w:p w14:paraId="3C1EC050" w14:textId="77777777" w:rsidR="000931A0" w:rsidRDefault="005F656A" w:rsidP="00340FAA">
      <w:pPr>
        <w:pStyle w:val="TableContents"/>
        <w:ind w:left="720"/>
        <w:jc w:val="both"/>
        <w:rPr>
          <w:rFonts w:ascii="Arial" w:hAnsi="Arial"/>
        </w:rPr>
      </w:pPr>
      <w:r w:rsidRPr="005F656A">
        <w:rPr>
          <w:rFonts w:ascii="Arial" w:hAnsi="Arial"/>
        </w:rPr>
        <w:t xml:space="preserve">(b) consistency with the principles and objectives of the Code, and any relevant statutory or regulatory requirements; and </w:t>
      </w:r>
    </w:p>
    <w:p w14:paraId="5619633E" w14:textId="48D5B076" w:rsidR="005F656A" w:rsidRDefault="0C18B594" w:rsidP="00340FAA">
      <w:pPr>
        <w:pStyle w:val="TableContents"/>
        <w:ind w:left="720"/>
        <w:jc w:val="both"/>
        <w:rPr>
          <w:rFonts w:ascii="Arial" w:hAnsi="Arial"/>
        </w:rPr>
      </w:pPr>
      <w:r w:rsidRPr="0C18B594">
        <w:rPr>
          <w:rFonts w:ascii="Arial" w:hAnsi="Arial"/>
        </w:rPr>
        <w:t>(c) the impact of the change (be it positive and/or negative) on Customers and on Sewerage Companies.</w:t>
      </w:r>
    </w:p>
    <w:p w14:paraId="4DF1521A" w14:textId="34227067" w:rsidR="0C18B594" w:rsidRDefault="0C18B594" w:rsidP="0C18B594">
      <w:pPr>
        <w:pStyle w:val="TableContents"/>
        <w:ind w:left="720"/>
        <w:jc w:val="both"/>
      </w:pPr>
    </w:p>
    <w:p w14:paraId="62775FD7" w14:textId="285A9A8C" w:rsidR="00B40590" w:rsidRDefault="0C18B594" w:rsidP="001C1C17">
      <w:pPr>
        <w:pStyle w:val="TableContents"/>
        <w:jc w:val="both"/>
        <w:rPr>
          <w:rFonts w:ascii="Arial" w:hAnsi="Arial"/>
        </w:rPr>
      </w:pPr>
      <w:r w:rsidRPr="0C18B594">
        <w:rPr>
          <w:rFonts w:ascii="Arial" w:hAnsi="Arial"/>
        </w:rPr>
        <w:t>In reaching its decision on the Proposal, the Panel has taken into account the following issues:</w:t>
      </w:r>
    </w:p>
    <w:p w14:paraId="1DE67E0A" w14:textId="1C0C038B" w:rsidR="0096435E" w:rsidRDefault="00660889" w:rsidP="0092110F">
      <w:pPr>
        <w:pStyle w:val="Textbody"/>
        <w:numPr>
          <w:ilvl w:val="0"/>
          <w:numId w:val="16"/>
        </w:numPr>
        <w:jc w:val="both"/>
        <w:rPr>
          <w:rFonts w:ascii="Arial" w:hAnsi="Arial"/>
          <w:bCs/>
        </w:rPr>
      </w:pPr>
      <w:r>
        <w:rPr>
          <w:rFonts w:ascii="Arial" w:hAnsi="Arial"/>
          <w:bCs/>
        </w:rPr>
        <w:t>T</w:t>
      </w:r>
      <w:r w:rsidR="00351900">
        <w:rPr>
          <w:rFonts w:ascii="Arial" w:hAnsi="Arial"/>
          <w:bCs/>
        </w:rPr>
        <w:t xml:space="preserve">he proposal related to two issues around </w:t>
      </w:r>
      <w:r w:rsidR="00351900" w:rsidRPr="0092110F">
        <w:rPr>
          <w:rFonts w:ascii="Arial" w:hAnsi="Arial"/>
          <w:bCs/>
        </w:rPr>
        <w:t>the procurement of meters and the contestability of activities around this</w:t>
      </w:r>
      <w:r w:rsidR="00071EAC" w:rsidRPr="0092110F">
        <w:rPr>
          <w:rFonts w:ascii="Arial" w:hAnsi="Arial"/>
          <w:bCs/>
        </w:rPr>
        <w:t>;</w:t>
      </w:r>
      <w:r w:rsidR="00351900" w:rsidRPr="0092110F">
        <w:rPr>
          <w:rFonts w:ascii="Arial" w:hAnsi="Arial"/>
          <w:bCs/>
        </w:rPr>
        <w:t xml:space="preserve"> </w:t>
      </w:r>
      <w:r w:rsidR="0092110F">
        <w:rPr>
          <w:rFonts w:ascii="Arial" w:hAnsi="Arial"/>
          <w:bCs/>
        </w:rPr>
        <w:t xml:space="preserve">and </w:t>
      </w:r>
      <w:r w:rsidR="00351900" w:rsidRPr="0092110F">
        <w:rPr>
          <w:rFonts w:ascii="Arial" w:hAnsi="Arial"/>
          <w:bCs/>
        </w:rPr>
        <w:t xml:space="preserve">liability for compensation for costs incurred by SLPs due to meter supply issues. </w:t>
      </w:r>
    </w:p>
    <w:p w14:paraId="192679C8" w14:textId="77777777" w:rsidR="00C84512" w:rsidRDefault="0092110F" w:rsidP="0092110F">
      <w:pPr>
        <w:pStyle w:val="Textbody"/>
        <w:numPr>
          <w:ilvl w:val="0"/>
          <w:numId w:val="16"/>
        </w:numPr>
        <w:jc w:val="both"/>
        <w:rPr>
          <w:rFonts w:ascii="Arial" w:hAnsi="Arial"/>
          <w:bCs/>
        </w:rPr>
      </w:pPr>
      <w:r w:rsidRPr="0092110F">
        <w:rPr>
          <w:rFonts w:ascii="Arial" w:hAnsi="Arial"/>
          <w:bCs/>
        </w:rPr>
        <w:t xml:space="preserve">In relation to contestability, the Panel agreed that while the installation of meters was likely to be a contestable activity, the procurement of meters was not contestable and it was important that those issues were not conflated.  </w:t>
      </w:r>
    </w:p>
    <w:p w14:paraId="69287780" w14:textId="784C109E" w:rsidR="0092110F" w:rsidRDefault="0092110F" w:rsidP="0092110F">
      <w:pPr>
        <w:pStyle w:val="Textbody"/>
        <w:numPr>
          <w:ilvl w:val="0"/>
          <w:numId w:val="16"/>
        </w:numPr>
        <w:jc w:val="both"/>
        <w:rPr>
          <w:rFonts w:ascii="Arial" w:hAnsi="Arial"/>
          <w:bCs/>
        </w:rPr>
      </w:pPr>
      <w:r w:rsidRPr="0092110F">
        <w:rPr>
          <w:rFonts w:ascii="Arial" w:hAnsi="Arial"/>
          <w:bCs/>
        </w:rPr>
        <w:t>However, the Panel accepted that there was scope for water companies to provide more clarity around meter procurement in their Annual Contestability Statement (ACS).</w:t>
      </w:r>
      <w:r w:rsidR="00997953">
        <w:rPr>
          <w:rFonts w:ascii="Arial" w:hAnsi="Arial"/>
          <w:bCs/>
        </w:rPr>
        <w:t xml:space="preserve">  This would be best addressed by making an amendment to Section 3.2 of the WSG</w:t>
      </w:r>
      <w:r w:rsidR="00B7215A">
        <w:rPr>
          <w:rFonts w:ascii="Arial" w:hAnsi="Arial"/>
          <w:bCs/>
        </w:rPr>
        <w:t xml:space="preserve"> to require companies to explain this in their ACS, rather than the more </w:t>
      </w:r>
      <w:r w:rsidR="00BB7F08">
        <w:rPr>
          <w:rFonts w:ascii="Arial" w:hAnsi="Arial"/>
          <w:bCs/>
        </w:rPr>
        <w:t>prescriptive</w:t>
      </w:r>
      <w:r w:rsidR="00B7215A">
        <w:rPr>
          <w:rFonts w:ascii="Arial" w:hAnsi="Arial"/>
          <w:bCs/>
        </w:rPr>
        <w:t xml:space="preserve"> amendment proposed by FWC</w:t>
      </w:r>
      <w:r w:rsidR="00BB7F08">
        <w:rPr>
          <w:rFonts w:ascii="Arial" w:hAnsi="Arial"/>
          <w:bCs/>
        </w:rPr>
        <w:t>.</w:t>
      </w:r>
    </w:p>
    <w:p w14:paraId="237BC5DE" w14:textId="77777777" w:rsidR="00706EFC" w:rsidRDefault="005C4070" w:rsidP="00FC5C98">
      <w:pPr>
        <w:pStyle w:val="Textbody"/>
        <w:numPr>
          <w:ilvl w:val="0"/>
          <w:numId w:val="16"/>
        </w:numPr>
        <w:jc w:val="both"/>
        <w:rPr>
          <w:rFonts w:ascii="Arial" w:hAnsi="Arial"/>
          <w:bCs/>
        </w:rPr>
      </w:pPr>
      <w:r>
        <w:rPr>
          <w:rFonts w:ascii="Arial" w:hAnsi="Arial"/>
          <w:bCs/>
        </w:rPr>
        <w:t xml:space="preserve">In relation to compensation, the Panel noted that there was a question of whether the financial risk of meter supply issues is balanced fairly between water companies and SLPs, who may be less able to bear additional costs.  </w:t>
      </w:r>
    </w:p>
    <w:p w14:paraId="4504E5E8" w14:textId="06E893D3" w:rsidR="005C4070" w:rsidRDefault="005C4070" w:rsidP="00FC5C98">
      <w:pPr>
        <w:pStyle w:val="Textbody"/>
        <w:numPr>
          <w:ilvl w:val="0"/>
          <w:numId w:val="16"/>
        </w:numPr>
        <w:jc w:val="both"/>
        <w:rPr>
          <w:rFonts w:ascii="Arial" w:hAnsi="Arial"/>
          <w:bCs/>
        </w:rPr>
      </w:pPr>
      <w:r>
        <w:rPr>
          <w:rFonts w:ascii="Arial" w:hAnsi="Arial"/>
          <w:bCs/>
        </w:rPr>
        <w:t>In addition, liability for costs or compensation could be negotiated with water companies on a case by case basis, via the Model Adoption Agreement or some other form of dispute resolution.  There was not sufficient justification to recommend a permanent change to the WSG when there are other avenues for redress already available.</w:t>
      </w:r>
    </w:p>
    <w:p w14:paraId="0EABCFB8" w14:textId="621AC6D2" w:rsidR="002434F9" w:rsidRPr="00FC5C98" w:rsidRDefault="002434F9" w:rsidP="00FC5C98">
      <w:pPr>
        <w:pStyle w:val="Textbody"/>
        <w:numPr>
          <w:ilvl w:val="0"/>
          <w:numId w:val="16"/>
        </w:numPr>
        <w:jc w:val="both"/>
        <w:rPr>
          <w:rFonts w:ascii="Arial" w:hAnsi="Arial"/>
          <w:bCs/>
        </w:rPr>
      </w:pPr>
      <w:r>
        <w:rPr>
          <w:rFonts w:ascii="Arial" w:hAnsi="Arial"/>
          <w:bCs/>
        </w:rPr>
        <w:t xml:space="preserve">Water companies and SLPs should </w:t>
      </w:r>
      <w:r w:rsidR="00E618EF">
        <w:rPr>
          <w:rFonts w:ascii="Arial" w:hAnsi="Arial"/>
          <w:bCs/>
        </w:rPr>
        <w:t xml:space="preserve">engage constructively to identify and resolve any potential supply issues, and this is best achieved through a collaborative approach rather than </w:t>
      </w:r>
      <w:r w:rsidR="00F5204B">
        <w:rPr>
          <w:rFonts w:ascii="Arial" w:hAnsi="Arial"/>
          <w:bCs/>
        </w:rPr>
        <w:t xml:space="preserve">amending the WSG to make it </w:t>
      </w:r>
      <w:r w:rsidR="00E618EF">
        <w:rPr>
          <w:rFonts w:ascii="Arial" w:hAnsi="Arial"/>
          <w:bCs/>
        </w:rPr>
        <w:t>overly prescriptive</w:t>
      </w:r>
      <w:r w:rsidR="00F5204B">
        <w:rPr>
          <w:rFonts w:ascii="Arial" w:hAnsi="Arial"/>
          <w:bCs/>
        </w:rPr>
        <w:t>.</w:t>
      </w:r>
      <w:r w:rsidR="00E618EF">
        <w:rPr>
          <w:rFonts w:ascii="Arial" w:hAnsi="Arial"/>
          <w:bCs/>
        </w:rPr>
        <w:t xml:space="preserve"> </w:t>
      </w:r>
    </w:p>
    <w:p w14:paraId="401A5594" w14:textId="66B322A9" w:rsidR="00E34E9D" w:rsidRDefault="00997953" w:rsidP="0C18B594">
      <w:pPr>
        <w:pStyle w:val="TableContents"/>
        <w:jc w:val="both"/>
        <w:rPr>
          <w:rFonts w:ascii="Arial" w:eastAsia="Arial" w:hAnsi="Arial"/>
          <w:color w:val="000000" w:themeColor="text1"/>
        </w:rPr>
      </w:pPr>
      <w:r w:rsidRPr="00997953">
        <w:rPr>
          <w:rFonts w:ascii="Arial" w:eastAsia="Arial" w:hAnsi="Arial"/>
          <w:color w:val="000000" w:themeColor="text1"/>
        </w:rPr>
        <w:t xml:space="preserve">Therefore the Panel concluded that, although it was not persuaded to recommend the specific change </w:t>
      </w:r>
      <w:r w:rsidR="00B208D9">
        <w:rPr>
          <w:rFonts w:ascii="Arial" w:eastAsia="Arial" w:hAnsi="Arial"/>
          <w:color w:val="000000" w:themeColor="text1"/>
        </w:rPr>
        <w:t xml:space="preserve">to Section 3.2 </w:t>
      </w:r>
      <w:r w:rsidRPr="00997953">
        <w:rPr>
          <w:rFonts w:ascii="Arial" w:eastAsia="Arial" w:hAnsi="Arial"/>
          <w:color w:val="000000" w:themeColor="text1"/>
        </w:rPr>
        <w:t xml:space="preserve">set out in the Proposal (for the reasons given above), the Code could be improved to address the issues raised by FWC in this area.  </w:t>
      </w:r>
      <w:r w:rsidR="00F5204B">
        <w:rPr>
          <w:rFonts w:ascii="Arial" w:eastAsia="Arial" w:hAnsi="Arial"/>
          <w:color w:val="000000" w:themeColor="text1"/>
        </w:rPr>
        <w:t xml:space="preserve">In reaching this conclusion, the Panel took into account the objections raised by FWC </w:t>
      </w:r>
      <w:r w:rsidR="004D6F7B">
        <w:rPr>
          <w:rFonts w:ascii="Arial" w:eastAsia="Arial" w:hAnsi="Arial"/>
          <w:color w:val="000000" w:themeColor="text1"/>
        </w:rPr>
        <w:t xml:space="preserve">and its proposed alternative wording.  </w:t>
      </w:r>
    </w:p>
    <w:p w14:paraId="5C4C5D59" w14:textId="77777777" w:rsidR="00E34E9D" w:rsidRDefault="00E34E9D" w:rsidP="0C18B594">
      <w:pPr>
        <w:pStyle w:val="TableContents"/>
        <w:jc w:val="both"/>
        <w:rPr>
          <w:rFonts w:ascii="Arial" w:eastAsia="Arial" w:hAnsi="Arial"/>
          <w:color w:val="000000" w:themeColor="text1"/>
        </w:rPr>
      </w:pPr>
    </w:p>
    <w:p w14:paraId="6C61F915" w14:textId="41A011DB" w:rsidR="00997953" w:rsidRDefault="00997953" w:rsidP="0C18B594">
      <w:pPr>
        <w:pStyle w:val="TableContents"/>
        <w:jc w:val="both"/>
        <w:rPr>
          <w:rFonts w:ascii="Arial" w:eastAsia="Arial" w:hAnsi="Arial"/>
          <w:color w:val="000000" w:themeColor="text1"/>
        </w:rPr>
      </w:pPr>
      <w:r w:rsidRPr="00997953">
        <w:rPr>
          <w:rFonts w:ascii="Arial" w:eastAsia="Arial" w:hAnsi="Arial"/>
          <w:color w:val="000000" w:themeColor="text1"/>
        </w:rPr>
        <w:t xml:space="preserve">The Panel’s recommendation is that </w:t>
      </w:r>
      <w:r w:rsidR="003E7B0C">
        <w:rPr>
          <w:rFonts w:ascii="Arial" w:eastAsia="Arial" w:hAnsi="Arial"/>
          <w:color w:val="000000" w:themeColor="text1"/>
        </w:rPr>
        <w:t xml:space="preserve">a </w:t>
      </w:r>
      <w:r w:rsidRPr="00997953">
        <w:rPr>
          <w:rFonts w:ascii="Arial" w:eastAsia="Arial" w:hAnsi="Arial"/>
          <w:color w:val="000000" w:themeColor="text1"/>
        </w:rPr>
        <w:t>change is made to</w:t>
      </w:r>
      <w:r w:rsidR="00B208D9">
        <w:rPr>
          <w:rFonts w:ascii="Arial" w:eastAsia="Arial" w:hAnsi="Arial"/>
          <w:color w:val="000000" w:themeColor="text1"/>
        </w:rPr>
        <w:t xml:space="preserve"> Section 3.2</w:t>
      </w:r>
      <w:r w:rsidR="004E07F6">
        <w:rPr>
          <w:rFonts w:ascii="Arial" w:eastAsia="Arial" w:hAnsi="Arial"/>
          <w:color w:val="000000" w:themeColor="text1"/>
        </w:rPr>
        <w:t xml:space="preserve"> of the W</w:t>
      </w:r>
      <w:r w:rsidR="00706EFC">
        <w:rPr>
          <w:rFonts w:ascii="Arial" w:eastAsia="Arial" w:hAnsi="Arial"/>
          <w:color w:val="000000" w:themeColor="text1"/>
        </w:rPr>
        <w:t>SG</w:t>
      </w:r>
      <w:r w:rsidR="000052F8">
        <w:rPr>
          <w:rFonts w:ascii="Arial" w:eastAsia="Arial" w:hAnsi="Arial"/>
          <w:color w:val="000000" w:themeColor="text1"/>
        </w:rPr>
        <w:t xml:space="preserve"> to address the issue raised by the change proposal</w:t>
      </w:r>
      <w:r w:rsidR="003E7B0C">
        <w:rPr>
          <w:rFonts w:ascii="Arial" w:eastAsia="Arial" w:hAnsi="Arial"/>
          <w:color w:val="000000" w:themeColor="text1"/>
        </w:rPr>
        <w:t>.  The Panel recommends that a new clause 3.2.9 is added to Section 3.2 as highlighted in red below</w:t>
      </w:r>
      <w:r w:rsidR="00F11BBA">
        <w:rPr>
          <w:rFonts w:ascii="Arial" w:eastAsia="Arial" w:hAnsi="Arial"/>
          <w:color w:val="000000" w:themeColor="text1"/>
        </w:rPr>
        <w:t xml:space="preserve">: </w:t>
      </w:r>
    </w:p>
    <w:p w14:paraId="594DFA20" w14:textId="77777777" w:rsidR="00F11BBA" w:rsidRDefault="00F11BBA" w:rsidP="0C18B594">
      <w:pPr>
        <w:pStyle w:val="TableContents"/>
        <w:jc w:val="both"/>
        <w:rPr>
          <w:rFonts w:ascii="Arial" w:eastAsia="Arial" w:hAnsi="Arial"/>
          <w:color w:val="000000" w:themeColor="text1"/>
        </w:rPr>
      </w:pPr>
    </w:p>
    <w:p w14:paraId="7CE6E942" w14:textId="77777777" w:rsidR="00F11BBA" w:rsidRPr="00F11BBA" w:rsidRDefault="00F11BBA" w:rsidP="0C18B594">
      <w:pPr>
        <w:pStyle w:val="TableContents"/>
        <w:jc w:val="both"/>
        <w:rPr>
          <w:rFonts w:ascii="Arial" w:eastAsia="Arial" w:hAnsi="Arial"/>
          <w:i/>
          <w:iCs/>
          <w:color w:val="000000" w:themeColor="text1"/>
        </w:rPr>
      </w:pPr>
      <w:r w:rsidRPr="00F11BBA">
        <w:rPr>
          <w:rFonts w:ascii="Arial" w:eastAsia="Arial" w:hAnsi="Arial"/>
          <w:i/>
          <w:iCs/>
          <w:color w:val="000000" w:themeColor="text1"/>
        </w:rPr>
        <w:t xml:space="preserve">3.2 Annual Contestability Summary </w:t>
      </w:r>
    </w:p>
    <w:p w14:paraId="200F0195" w14:textId="77777777" w:rsidR="00F11BBA" w:rsidRPr="00F11BBA" w:rsidRDefault="00F11BBA" w:rsidP="0C18B594">
      <w:pPr>
        <w:pStyle w:val="TableContents"/>
        <w:jc w:val="both"/>
        <w:rPr>
          <w:rFonts w:ascii="Arial" w:eastAsia="Arial" w:hAnsi="Arial"/>
          <w:i/>
          <w:iCs/>
          <w:color w:val="000000" w:themeColor="text1"/>
        </w:rPr>
      </w:pPr>
    </w:p>
    <w:p w14:paraId="3B0FD590" w14:textId="77777777" w:rsidR="00F11BBA" w:rsidRPr="00F11BBA" w:rsidRDefault="00F11BBA" w:rsidP="0C18B594">
      <w:pPr>
        <w:pStyle w:val="TableContents"/>
        <w:jc w:val="both"/>
        <w:rPr>
          <w:rFonts w:ascii="Arial" w:eastAsia="Arial" w:hAnsi="Arial"/>
          <w:i/>
          <w:iCs/>
          <w:color w:val="000000" w:themeColor="text1"/>
        </w:rPr>
      </w:pPr>
      <w:r w:rsidRPr="00F11BBA">
        <w:rPr>
          <w:rFonts w:ascii="Arial" w:eastAsia="Arial" w:hAnsi="Arial"/>
          <w:i/>
          <w:iCs/>
          <w:color w:val="000000" w:themeColor="text1"/>
        </w:rPr>
        <w:t xml:space="preserve">3.2.1 Upon first implementation of the Water Sector Guidance, and each year thereafter or more frequently, each Water Company shall publish on its website a statement regarding the activities which it considers to be Contestable. This will be known as an “Annual Contestability Summary (“ACS”). The template for companies’ ACS documents appears in table 3.2 below and no company’s ACS will allow fewer activities to be Contestable than are so marked on that table, as amended from time to time. </w:t>
      </w:r>
    </w:p>
    <w:p w14:paraId="0E7AF2A0" w14:textId="77777777" w:rsidR="00F11BBA" w:rsidRPr="00F11BBA" w:rsidRDefault="00F11BBA" w:rsidP="0C18B594">
      <w:pPr>
        <w:pStyle w:val="TableContents"/>
        <w:jc w:val="both"/>
        <w:rPr>
          <w:rFonts w:ascii="Arial" w:eastAsia="Arial" w:hAnsi="Arial"/>
          <w:i/>
          <w:iCs/>
          <w:color w:val="000000" w:themeColor="text1"/>
        </w:rPr>
      </w:pPr>
      <w:r w:rsidRPr="00F11BBA">
        <w:rPr>
          <w:rFonts w:ascii="Arial" w:eastAsia="Arial" w:hAnsi="Arial"/>
          <w:i/>
          <w:iCs/>
          <w:color w:val="000000" w:themeColor="text1"/>
        </w:rPr>
        <w:t xml:space="preserve">3.2.2 Each Water Company’s ACS will be accompanied by indicative information about steps that an SLP would need to take to carry-out higher risk tasks-shaded amber on table 3.2. </w:t>
      </w:r>
    </w:p>
    <w:p w14:paraId="1D397F62" w14:textId="77777777" w:rsidR="00F11BBA" w:rsidRPr="00F11BBA" w:rsidRDefault="00F11BBA" w:rsidP="0C18B594">
      <w:pPr>
        <w:pStyle w:val="TableContents"/>
        <w:jc w:val="both"/>
        <w:rPr>
          <w:rFonts w:ascii="Arial" w:eastAsia="Arial" w:hAnsi="Arial"/>
          <w:i/>
          <w:iCs/>
          <w:color w:val="000000" w:themeColor="text1"/>
        </w:rPr>
      </w:pPr>
      <w:r w:rsidRPr="00F11BBA">
        <w:rPr>
          <w:rFonts w:ascii="Arial" w:eastAsia="Arial" w:hAnsi="Arial"/>
          <w:i/>
          <w:iCs/>
          <w:color w:val="000000" w:themeColor="text1"/>
        </w:rPr>
        <w:t xml:space="preserve">3.2.3 It is expected that over time, the template ACS will be modified in the light of experience and changing Accreditation requirements to increase the scope of activities available for SLPs to undertake. </w:t>
      </w:r>
    </w:p>
    <w:p w14:paraId="2CCD05B8" w14:textId="50613F41" w:rsidR="00F11BBA" w:rsidRPr="00F11BBA" w:rsidRDefault="00F11BBA" w:rsidP="0C18B594">
      <w:pPr>
        <w:pStyle w:val="TableContents"/>
        <w:jc w:val="both"/>
        <w:rPr>
          <w:rFonts w:ascii="Arial" w:eastAsia="Arial" w:hAnsi="Arial"/>
          <w:i/>
          <w:iCs/>
          <w:color w:val="000000" w:themeColor="text1"/>
        </w:rPr>
      </w:pPr>
      <w:r w:rsidRPr="00F11BBA">
        <w:rPr>
          <w:rFonts w:ascii="Arial" w:eastAsia="Arial" w:hAnsi="Arial"/>
          <w:i/>
          <w:iCs/>
          <w:color w:val="000000" w:themeColor="text1"/>
        </w:rPr>
        <w:t xml:space="preserve">3.2.4 The activities appearing in green on table 3.2 shall always be Contestable (i.e., marked green) on individual Water Companies’ ACS. 290622 </w:t>
      </w:r>
    </w:p>
    <w:p w14:paraId="390FDDFB" w14:textId="77777777" w:rsidR="00F11BBA" w:rsidRPr="00F11BBA" w:rsidRDefault="00F11BBA" w:rsidP="0C18B594">
      <w:pPr>
        <w:pStyle w:val="TableContents"/>
        <w:jc w:val="both"/>
        <w:rPr>
          <w:rFonts w:ascii="Arial" w:eastAsia="Arial" w:hAnsi="Arial"/>
          <w:i/>
          <w:iCs/>
          <w:color w:val="000000" w:themeColor="text1"/>
        </w:rPr>
      </w:pPr>
      <w:r w:rsidRPr="00F11BBA">
        <w:rPr>
          <w:rFonts w:ascii="Arial" w:eastAsia="Arial" w:hAnsi="Arial"/>
          <w:i/>
          <w:iCs/>
          <w:color w:val="000000" w:themeColor="text1"/>
        </w:rPr>
        <w:t xml:space="preserve">3.2.5 The activities considered Contestable by a Water Company in its ACS shall not in any event be fewer than those permitted to be carried out by SLPs in that company’s area before the date on which this WSG comes into effect. </w:t>
      </w:r>
    </w:p>
    <w:p w14:paraId="601ABE51" w14:textId="77777777" w:rsidR="00F11BBA" w:rsidRPr="00F11BBA" w:rsidRDefault="00F11BBA" w:rsidP="0C18B594">
      <w:pPr>
        <w:pStyle w:val="TableContents"/>
        <w:jc w:val="both"/>
        <w:rPr>
          <w:rFonts w:ascii="Arial" w:eastAsia="Arial" w:hAnsi="Arial"/>
          <w:i/>
          <w:iCs/>
          <w:color w:val="000000" w:themeColor="text1"/>
        </w:rPr>
      </w:pPr>
      <w:r w:rsidRPr="00F11BBA">
        <w:rPr>
          <w:rFonts w:ascii="Arial" w:eastAsia="Arial" w:hAnsi="Arial"/>
          <w:i/>
          <w:iCs/>
          <w:color w:val="000000" w:themeColor="text1"/>
        </w:rPr>
        <w:t xml:space="preserve">3.2.6 In advance of publication, the ACS will be discussed with relevant Customers in a Water Company’s area. Water Companies shall publish their ACS on their website no later than 4 weeks before it takes effect, to allow sufficient time for SLPs to amend their processes if required. </w:t>
      </w:r>
    </w:p>
    <w:p w14:paraId="46B98BEB" w14:textId="30C3BC47" w:rsidR="00F11BBA" w:rsidRDefault="00F11BBA" w:rsidP="0C18B594">
      <w:pPr>
        <w:pStyle w:val="TableContents"/>
        <w:jc w:val="both"/>
        <w:rPr>
          <w:rFonts w:ascii="Arial" w:eastAsia="Arial" w:hAnsi="Arial"/>
          <w:i/>
          <w:iCs/>
          <w:color w:val="000000" w:themeColor="text1"/>
        </w:rPr>
      </w:pPr>
      <w:r w:rsidRPr="00F11BBA">
        <w:rPr>
          <w:rFonts w:ascii="Arial" w:eastAsia="Arial" w:hAnsi="Arial"/>
          <w:i/>
          <w:iCs/>
          <w:color w:val="000000" w:themeColor="text1"/>
        </w:rPr>
        <w:t>3.2.7 A Water Company will explain within its ACS where it has used its discretion to include an activity within the red category and ensure this is published on its website. 3.2.8 Where providing an adequate Site supply requires Network Reinforcement, elements of this work should be considered as Contestable subject to the scope of works required and impact on existing end-user customers. This concerns additional works to extend from the nearest Point of Connection of suitable size to a more distant Point of Connection specified by the Water Company. Charges shall be by agreement between the SLP and the Water Company and with reference to Water Company Charging Arrangements.</w:t>
      </w:r>
    </w:p>
    <w:p w14:paraId="2E9632CA" w14:textId="22DAFC48" w:rsidR="00316ECF" w:rsidRDefault="00ED514E" w:rsidP="0C18B594">
      <w:pPr>
        <w:pStyle w:val="TableContents"/>
        <w:jc w:val="both"/>
        <w:rPr>
          <w:rFonts w:ascii="Arial" w:eastAsia="Arial" w:hAnsi="Arial"/>
          <w:i/>
          <w:iCs/>
          <w:color w:val="FF0000"/>
        </w:rPr>
      </w:pPr>
      <w:r>
        <w:rPr>
          <w:rFonts w:ascii="Arial" w:eastAsia="Arial" w:hAnsi="Arial"/>
          <w:i/>
          <w:iCs/>
          <w:color w:val="FF0000"/>
        </w:rPr>
        <w:t xml:space="preserve">3.2.9. </w:t>
      </w:r>
      <w:r w:rsidRPr="00ED514E">
        <w:rPr>
          <w:rFonts w:ascii="Arial" w:eastAsia="Arial" w:hAnsi="Arial"/>
          <w:i/>
          <w:iCs/>
          <w:color w:val="FF0000"/>
        </w:rPr>
        <w:t xml:space="preserve">Each Water Company shall publish details of how SLPs are to procure meters in its area </w:t>
      </w:r>
      <w:r>
        <w:rPr>
          <w:rFonts w:ascii="Arial" w:eastAsia="Arial" w:hAnsi="Arial"/>
          <w:i/>
          <w:iCs/>
          <w:color w:val="FF0000"/>
        </w:rPr>
        <w:t>in</w:t>
      </w:r>
      <w:r w:rsidR="00316ECF">
        <w:rPr>
          <w:rFonts w:ascii="Arial" w:eastAsia="Arial" w:hAnsi="Arial"/>
          <w:i/>
          <w:iCs/>
          <w:color w:val="FF0000"/>
        </w:rPr>
        <w:t>,</w:t>
      </w:r>
      <w:r>
        <w:rPr>
          <w:rFonts w:ascii="Arial" w:eastAsia="Arial" w:hAnsi="Arial"/>
          <w:i/>
          <w:iCs/>
          <w:color w:val="FF0000"/>
        </w:rPr>
        <w:t xml:space="preserve"> </w:t>
      </w:r>
      <w:r w:rsidR="00D97AA1">
        <w:rPr>
          <w:rFonts w:ascii="Arial" w:eastAsia="Arial" w:hAnsi="Arial"/>
          <w:i/>
          <w:iCs/>
          <w:color w:val="FF0000"/>
        </w:rPr>
        <w:t>or as an appendix to</w:t>
      </w:r>
      <w:r w:rsidR="00316ECF">
        <w:rPr>
          <w:rFonts w:ascii="Arial" w:eastAsia="Arial" w:hAnsi="Arial"/>
          <w:i/>
          <w:iCs/>
          <w:color w:val="FF0000"/>
        </w:rPr>
        <w:t>,</w:t>
      </w:r>
      <w:r w:rsidR="00D97AA1">
        <w:rPr>
          <w:rFonts w:ascii="Arial" w:eastAsia="Arial" w:hAnsi="Arial"/>
          <w:i/>
          <w:iCs/>
          <w:color w:val="FF0000"/>
        </w:rPr>
        <w:t xml:space="preserve"> its ACS</w:t>
      </w:r>
      <w:r w:rsidR="00316ECF">
        <w:rPr>
          <w:rFonts w:ascii="Arial" w:eastAsia="Arial" w:hAnsi="Arial"/>
          <w:i/>
          <w:iCs/>
          <w:color w:val="FF0000"/>
        </w:rPr>
        <w:t xml:space="preserve">, including </w:t>
      </w:r>
      <w:r w:rsidRPr="00ED514E">
        <w:rPr>
          <w:rFonts w:ascii="Arial" w:eastAsia="Arial" w:hAnsi="Arial"/>
          <w:i/>
          <w:iCs/>
          <w:color w:val="FF0000"/>
        </w:rPr>
        <w:t>whether customer meters must be procured either:</w:t>
      </w:r>
    </w:p>
    <w:p w14:paraId="78FAB10D" w14:textId="7C17FADC" w:rsidR="003468B6" w:rsidRDefault="00ED514E" w:rsidP="0C18B594">
      <w:pPr>
        <w:pStyle w:val="TableContents"/>
        <w:jc w:val="both"/>
        <w:rPr>
          <w:rFonts w:ascii="Arial" w:eastAsia="Arial" w:hAnsi="Arial"/>
          <w:i/>
          <w:iCs/>
          <w:color w:val="FF0000"/>
        </w:rPr>
      </w:pPr>
      <w:r w:rsidRPr="00ED514E">
        <w:rPr>
          <w:rFonts w:ascii="Arial" w:eastAsia="Arial" w:hAnsi="Arial"/>
          <w:i/>
          <w:iCs/>
          <w:color w:val="FF0000"/>
        </w:rPr>
        <w:t xml:space="preserve">- direct from </w:t>
      </w:r>
      <w:r w:rsidR="00316ECF">
        <w:rPr>
          <w:rFonts w:ascii="Arial" w:eastAsia="Arial" w:hAnsi="Arial"/>
          <w:i/>
          <w:iCs/>
          <w:color w:val="FF0000"/>
        </w:rPr>
        <w:t>the Water Company</w:t>
      </w:r>
      <w:r w:rsidRPr="00ED514E">
        <w:rPr>
          <w:rFonts w:ascii="Arial" w:eastAsia="Arial" w:hAnsi="Arial"/>
          <w:i/>
          <w:iCs/>
          <w:color w:val="FF0000"/>
        </w:rPr>
        <w:t xml:space="preserve">; </w:t>
      </w:r>
    </w:p>
    <w:p w14:paraId="450F9B3F" w14:textId="6143E1AD" w:rsidR="003468B6" w:rsidRDefault="00ED514E" w:rsidP="0C18B594">
      <w:pPr>
        <w:pStyle w:val="TableContents"/>
        <w:jc w:val="both"/>
        <w:rPr>
          <w:rFonts w:ascii="Arial" w:eastAsia="Arial" w:hAnsi="Arial"/>
          <w:i/>
          <w:iCs/>
          <w:color w:val="FF0000"/>
        </w:rPr>
      </w:pPr>
      <w:r w:rsidRPr="00ED514E">
        <w:rPr>
          <w:rFonts w:ascii="Arial" w:eastAsia="Arial" w:hAnsi="Arial"/>
          <w:i/>
          <w:iCs/>
          <w:color w:val="FF0000"/>
        </w:rPr>
        <w:t xml:space="preserve">- direct from the </w:t>
      </w:r>
      <w:r w:rsidR="002004C1">
        <w:rPr>
          <w:rFonts w:ascii="Arial" w:eastAsia="Arial" w:hAnsi="Arial"/>
          <w:i/>
          <w:iCs/>
          <w:color w:val="FF0000"/>
        </w:rPr>
        <w:t>Water C</w:t>
      </w:r>
      <w:r w:rsidRPr="00ED514E">
        <w:rPr>
          <w:rFonts w:ascii="Arial" w:eastAsia="Arial" w:hAnsi="Arial"/>
          <w:i/>
          <w:iCs/>
          <w:color w:val="FF0000"/>
        </w:rPr>
        <w:t>ompany’s nominated supplier</w:t>
      </w:r>
      <w:r w:rsidR="002004C1">
        <w:rPr>
          <w:rFonts w:ascii="Arial" w:eastAsia="Arial" w:hAnsi="Arial"/>
          <w:i/>
          <w:iCs/>
          <w:color w:val="FF0000"/>
        </w:rPr>
        <w:t xml:space="preserve">; </w:t>
      </w:r>
      <w:r w:rsidRPr="00ED514E">
        <w:rPr>
          <w:rFonts w:ascii="Arial" w:eastAsia="Arial" w:hAnsi="Arial"/>
          <w:i/>
          <w:iCs/>
          <w:color w:val="FF0000"/>
        </w:rPr>
        <w:t xml:space="preserve">or </w:t>
      </w:r>
    </w:p>
    <w:p w14:paraId="0B0659BD" w14:textId="4CE68A3D" w:rsidR="00ED514E" w:rsidRPr="00ED514E" w:rsidRDefault="00ED514E" w:rsidP="0C18B594">
      <w:pPr>
        <w:pStyle w:val="TableContents"/>
        <w:jc w:val="both"/>
        <w:rPr>
          <w:rFonts w:ascii="Arial" w:eastAsia="Arial" w:hAnsi="Arial"/>
          <w:i/>
          <w:iCs/>
          <w:color w:val="FF0000"/>
        </w:rPr>
      </w:pPr>
      <w:r w:rsidRPr="00ED514E">
        <w:rPr>
          <w:rFonts w:ascii="Arial" w:eastAsia="Arial" w:hAnsi="Arial"/>
          <w:i/>
          <w:iCs/>
          <w:color w:val="FF0000"/>
        </w:rPr>
        <w:t xml:space="preserve">- from a supplier chosen by the SLP (to a </w:t>
      </w:r>
      <w:r w:rsidR="00316ECF">
        <w:rPr>
          <w:rFonts w:ascii="Arial" w:eastAsia="Arial" w:hAnsi="Arial"/>
          <w:i/>
          <w:iCs/>
          <w:color w:val="FF0000"/>
        </w:rPr>
        <w:t>Water C</w:t>
      </w:r>
      <w:r w:rsidRPr="00ED514E">
        <w:rPr>
          <w:rFonts w:ascii="Arial" w:eastAsia="Arial" w:hAnsi="Arial"/>
          <w:i/>
          <w:iCs/>
          <w:color w:val="FF0000"/>
        </w:rPr>
        <w:t>ompany meter specification</w:t>
      </w:r>
      <w:r w:rsidR="00316ECF">
        <w:rPr>
          <w:rFonts w:ascii="Arial" w:eastAsia="Arial" w:hAnsi="Arial"/>
          <w:i/>
          <w:iCs/>
          <w:color w:val="FF0000"/>
        </w:rPr>
        <w:t>)</w:t>
      </w:r>
    </w:p>
    <w:p w14:paraId="01AE2DCF" w14:textId="77777777" w:rsidR="00B67CB9" w:rsidRDefault="00B67CB9" w:rsidP="0C18B594">
      <w:pPr>
        <w:pStyle w:val="TableContents"/>
        <w:jc w:val="both"/>
        <w:rPr>
          <w:rFonts w:ascii="Arial" w:eastAsia="Arial" w:hAnsi="Arial"/>
          <w:color w:val="000000" w:themeColor="text1"/>
        </w:rPr>
      </w:pPr>
    </w:p>
    <w:p w14:paraId="70702CC2" w14:textId="6983D959" w:rsidR="00B67CB9" w:rsidRDefault="00B67CB9" w:rsidP="0C18B594">
      <w:pPr>
        <w:pStyle w:val="TableContents"/>
        <w:jc w:val="both"/>
        <w:rPr>
          <w:rFonts w:ascii="Arial" w:eastAsia="Arial" w:hAnsi="Arial"/>
          <w:color w:val="000000" w:themeColor="text1"/>
        </w:rPr>
      </w:pPr>
      <w:r>
        <w:rPr>
          <w:rFonts w:ascii="Arial" w:eastAsia="Arial" w:hAnsi="Arial"/>
          <w:color w:val="000000" w:themeColor="text1"/>
        </w:rPr>
        <w:t>The Panel’s recommendation is that the proposed change to Stage 7 is not accepted for the reasons set out above.</w:t>
      </w:r>
    </w:p>
    <w:p w14:paraId="071953DC" w14:textId="77777777" w:rsidR="00997953" w:rsidRDefault="00997953" w:rsidP="0C18B594">
      <w:pPr>
        <w:pStyle w:val="TableContents"/>
        <w:jc w:val="both"/>
        <w:rPr>
          <w:rFonts w:ascii="Arial" w:eastAsia="Arial" w:hAnsi="Arial"/>
          <w:color w:val="000000" w:themeColor="text1"/>
        </w:rPr>
      </w:pPr>
    </w:p>
    <w:p w14:paraId="670CBD53" w14:textId="02E12969" w:rsidR="0C18B594" w:rsidRDefault="0C18B594" w:rsidP="0C18B594">
      <w:pPr>
        <w:pStyle w:val="TableContents"/>
        <w:jc w:val="both"/>
      </w:pPr>
      <w:r w:rsidRPr="0C18B594">
        <w:rPr>
          <w:rFonts w:ascii="Arial" w:eastAsia="Arial" w:hAnsi="Arial"/>
          <w:color w:val="000000" w:themeColor="text1"/>
        </w:rPr>
        <w:t>As the change is relatively minor, the Panel is mindful that making frequent small changes to the Code documentation could cause confusion.  Therefore, the Panel recommends that the change itself should take effect from 1</w:t>
      </w:r>
      <w:r w:rsidRPr="0C18B594">
        <w:rPr>
          <w:rFonts w:ascii="Arial" w:eastAsia="Arial" w:hAnsi="Arial"/>
          <w:color w:val="000000" w:themeColor="text1"/>
          <w:vertAlign w:val="superscript"/>
        </w:rPr>
        <w:t>st</w:t>
      </w:r>
      <w:r w:rsidRPr="0C18B594">
        <w:rPr>
          <w:rFonts w:ascii="Arial" w:eastAsia="Arial" w:hAnsi="Arial"/>
          <w:color w:val="000000" w:themeColor="text1"/>
        </w:rPr>
        <w:t xml:space="preserve"> April 202</w:t>
      </w:r>
      <w:r w:rsidR="004B77B3">
        <w:rPr>
          <w:rFonts w:ascii="Arial" w:eastAsia="Arial" w:hAnsi="Arial"/>
          <w:color w:val="000000" w:themeColor="text1"/>
        </w:rPr>
        <w:t>3</w:t>
      </w:r>
      <w:r w:rsidRPr="0C18B594">
        <w:rPr>
          <w:rFonts w:ascii="Arial" w:eastAsia="Arial" w:hAnsi="Arial"/>
          <w:color w:val="000000" w:themeColor="text1"/>
        </w:rPr>
        <w:t xml:space="preserve">.  This is in line with the commencement of water undertakers’ new charging year and allows time for undertakers to make any changes to their own documentation required by the change.  </w:t>
      </w:r>
      <w:r w:rsidRPr="0C18B594">
        <w:t xml:space="preserve"> </w:t>
      </w:r>
    </w:p>
    <w:p w14:paraId="57D92C0D" w14:textId="77777777" w:rsidR="00FB52E0" w:rsidRDefault="00FB52E0" w:rsidP="00F40E4F">
      <w:pPr>
        <w:pStyle w:val="TableContents"/>
        <w:jc w:val="both"/>
        <w:rPr>
          <w:rFonts w:ascii="Arial" w:hAnsi="Arial"/>
        </w:rPr>
      </w:pPr>
    </w:p>
    <w:p w14:paraId="12D4D465" w14:textId="253BD001" w:rsidR="003435AF" w:rsidRDefault="0C18B594" w:rsidP="005A4651">
      <w:pPr>
        <w:pStyle w:val="TableContents"/>
        <w:jc w:val="both"/>
        <w:rPr>
          <w:rFonts w:ascii="Arial" w:hAnsi="Arial"/>
        </w:rPr>
      </w:pPr>
      <w:r w:rsidRPr="0C18B594">
        <w:rPr>
          <w:rFonts w:ascii="Arial" w:hAnsi="Arial"/>
        </w:rPr>
        <w:t xml:space="preserve">This decision reflects the consensus of all members of the Panel following consideration of the Proposal at the meeting on </w:t>
      </w:r>
      <w:r w:rsidR="00CE4F69">
        <w:rPr>
          <w:rFonts w:ascii="Arial" w:hAnsi="Arial"/>
        </w:rPr>
        <w:t>18</w:t>
      </w:r>
      <w:r w:rsidR="00CE4F69" w:rsidRPr="00CE4F69">
        <w:rPr>
          <w:rFonts w:ascii="Arial" w:hAnsi="Arial"/>
          <w:vertAlign w:val="superscript"/>
        </w:rPr>
        <w:t>th</w:t>
      </w:r>
      <w:r w:rsidR="00CE4F69">
        <w:rPr>
          <w:rFonts w:ascii="Arial" w:hAnsi="Arial"/>
        </w:rPr>
        <w:t xml:space="preserve"> November 2022</w:t>
      </w:r>
      <w:r w:rsidRPr="0C18B594">
        <w:rPr>
          <w:rFonts w:ascii="Arial" w:hAnsi="Arial"/>
        </w:rPr>
        <w:t>. This recommendation was made on the basis that it improves services for customers</w:t>
      </w:r>
      <w:r w:rsidR="00CE4F69">
        <w:rPr>
          <w:rFonts w:ascii="Arial" w:hAnsi="Arial"/>
        </w:rPr>
        <w:t xml:space="preserve"> and SLPs</w:t>
      </w:r>
      <w:r w:rsidR="00822003">
        <w:rPr>
          <w:rFonts w:ascii="Arial" w:hAnsi="Arial"/>
        </w:rPr>
        <w:t xml:space="preserve">, </w:t>
      </w:r>
      <w:r w:rsidR="00BD00B6">
        <w:rPr>
          <w:rFonts w:ascii="Arial" w:hAnsi="Arial"/>
        </w:rPr>
        <w:t>encourages</w:t>
      </w:r>
      <w:r w:rsidR="002626C2">
        <w:rPr>
          <w:rFonts w:ascii="Arial" w:hAnsi="Arial"/>
        </w:rPr>
        <w:t xml:space="preserve"> efficiency</w:t>
      </w:r>
      <w:r w:rsidR="0017797D">
        <w:rPr>
          <w:rFonts w:ascii="Arial" w:hAnsi="Arial"/>
        </w:rPr>
        <w:t>, clarifies companies’ policies</w:t>
      </w:r>
      <w:r w:rsidRPr="0C18B594">
        <w:rPr>
          <w:rFonts w:ascii="Arial" w:hAnsi="Arial"/>
        </w:rPr>
        <w:t xml:space="preserve"> and supports consistency across the Code documentation.  The Panel was satisfied that the change proposed enables the DCG to better meet the principles of the Code. </w:t>
      </w:r>
    </w:p>
    <w:p w14:paraId="74E51CCA" w14:textId="77777777" w:rsidR="0096435E" w:rsidRDefault="0096435E" w:rsidP="0096435E">
      <w:pPr>
        <w:pStyle w:val="TableContents"/>
        <w:jc w:val="both"/>
        <w:rPr>
          <w:rFonts w:ascii="Arial" w:hAnsi="Arial"/>
        </w:rPr>
      </w:pPr>
    </w:p>
    <w:p w14:paraId="7DED22BD" w14:textId="1C9FB465" w:rsidR="00C50DA8" w:rsidRDefault="003435AF" w:rsidP="00AC32B9">
      <w:pPr>
        <w:jc w:val="both"/>
        <w:rPr>
          <w:rFonts w:ascii="Arial" w:hAnsi="Arial" w:cs="Arial"/>
          <w:sz w:val="24"/>
          <w:szCs w:val="24"/>
        </w:rPr>
      </w:pPr>
      <w:r>
        <w:rPr>
          <w:rFonts w:ascii="Arial" w:hAnsi="Arial" w:cs="Arial"/>
          <w:sz w:val="24"/>
          <w:szCs w:val="24"/>
        </w:rPr>
        <w:t>I confirm that a copy of this letter</w:t>
      </w:r>
      <w:r w:rsidR="0040632E">
        <w:rPr>
          <w:rFonts w:ascii="Arial" w:hAnsi="Arial" w:cs="Arial"/>
          <w:sz w:val="24"/>
          <w:szCs w:val="24"/>
        </w:rPr>
        <w:t xml:space="preserve"> has been sent</w:t>
      </w:r>
      <w:r>
        <w:rPr>
          <w:rFonts w:ascii="Arial" w:hAnsi="Arial" w:cs="Arial"/>
          <w:sz w:val="24"/>
          <w:szCs w:val="24"/>
        </w:rPr>
        <w:t xml:space="preserve"> to </w:t>
      </w:r>
      <w:r w:rsidR="00894CFF">
        <w:rPr>
          <w:rFonts w:ascii="Arial" w:hAnsi="Arial" w:cs="Arial"/>
          <w:sz w:val="24"/>
          <w:szCs w:val="24"/>
        </w:rPr>
        <w:t>FWC</w:t>
      </w:r>
      <w:r w:rsidR="00D87676">
        <w:rPr>
          <w:rFonts w:ascii="Arial" w:hAnsi="Arial" w:cs="Arial"/>
          <w:sz w:val="24"/>
          <w:szCs w:val="24"/>
        </w:rPr>
        <w:t xml:space="preserve"> and</w:t>
      </w:r>
      <w:r w:rsidR="00A27C60">
        <w:rPr>
          <w:rFonts w:ascii="Arial" w:hAnsi="Arial" w:cs="Arial"/>
          <w:sz w:val="24"/>
          <w:szCs w:val="24"/>
        </w:rPr>
        <w:t xml:space="preserve"> has also </w:t>
      </w:r>
      <w:r w:rsidR="009A7D25">
        <w:rPr>
          <w:rFonts w:ascii="Arial" w:hAnsi="Arial" w:cs="Arial"/>
          <w:sz w:val="24"/>
          <w:szCs w:val="24"/>
        </w:rPr>
        <w:t>been published</w:t>
      </w:r>
      <w:r w:rsidR="00360CFB">
        <w:rPr>
          <w:rFonts w:ascii="Arial" w:hAnsi="Arial" w:cs="Arial"/>
          <w:sz w:val="24"/>
          <w:szCs w:val="24"/>
        </w:rPr>
        <w:t xml:space="preserve"> </w:t>
      </w:r>
      <w:r w:rsidR="009A7D25">
        <w:rPr>
          <w:rFonts w:ascii="Arial" w:hAnsi="Arial" w:cs="Arial"/>
          <w:sz w:val="24"/>
          <w:szCs w:val="24"/>
        </w:rPr>
        <w:t xml:space="preserve">on the </w:t>
      </w:r>
      <w:r w:rsidR="001F2C2A">
        <w:rPr>
          <w:rFonts w:ascii="Arial" w:hAnsi="Arial" w:cs="Arial"/>
          <w:sz w:val="24"/>
          <w:szCs w:val="24"/>
        </w:rPr>
        <w:t>Panel’s website.</w:t>
      </w:r>
      <w:r>
        <w:rPr>
          <w:rFonts w:ascii="Arial" w:hAnsi="Arial" w:cs="Arial"/>
          <w:sz w:val="24"/>
          <w:szCs w:val="24"/>
        </w:rPr>
        <w:t xml:space="preserve">  </w:t>
      </w:r>
    </w:p>
    <w:p w14:paraId="27586F38" w14:textId="44F70160" w:rsidR="003435AF" w:rsidRPr="003435AF" w:rsidRDefault="003435AF" w:rsidP="00AC32B9">
      <w:pPr>
        <w:jc w:val="both"/>
        <w:rPr>
          <w:rFonts w:ascii="Arial" w:hAnsi="Arial" w:cs="Arial"/>
          <w:sz w:val="24"/>
          <w:szCs w:val="24"/>
        </w:rPr>
      </w:pPr>
      <w:r>
        <w:rPr>
          <w:rFonts w:ascii="Arial" w:hAnsi="Arial" w:cs="Arial"/>
          <w:sz w:val="24"/>
          <w:szCs w:val="24"/>
        </w:rPr>
        <w:t xml:space="preserve">If you require any further information or </w:t>
      </w:r>
      <w:r w:rsidR="00487C09">
        <w:rPr>
          <w:rFonts w:ascii="Arial" w:hAnsi="Arial" w:cs="Arial"/>
          <w:sz w:val="24"/>
          <w:szCs w:val="24"/>
        </w:rPr>
        <w:t xml:space="preserve">if </w:t>
      </w:r>
      <w:r>
        <w:rPr>
          <w:rFonts w:ascii="Arial" w:hAnsi="Arial" w:cs="Arial"/>
          <w:sz w:val="24"/>
          <w:szCs w:val="24"/>
        </w:rPr>
        <w:t xml:space="preserve">the Panel can assist any further regarding the </w:t>
      </w:r>
      <w:r w:rsidR="00894CFF">
        <w:rPr>
          <w:rFonts w:ascii="Arial" w:hAnsi="Arial" w:cs="Arial"/>
          <w:sz w:val="24"/>
          <w:szCs w:val="24"/>
        </w:rPr>
        <w:t>P</w:t>
      </w:r>
      <w:r w:rsidR="00487C09">
        <w:rPr>
          <w:rFonts w:ascii="Arial" w:hAnsi="Arial" w:cs="Arial"/>
          <w:sz w:val="24"/>
          <w:szCs w:val="24"/>
        </w:rPr>
        <w:t>roposal</w:t>
      </w:r>
      <w:r>
        <w:rPr>
          <w:rFonts w:ascii="Arial" w:hAnsi="Arial" w:cs="Arial"/>
          <w:sz w:val="24"/>
          <w:szCs w:val="24"/>
        </w:rPr>
        <w:t>, please let me know.</w:t>
      </w:r>
    </w:p>
    <w:p w14:paraId="79D4880F" w14:textId="1D114D39" w:rsidR="00BA303B" w:rsidRDefault="00BA303B" w:rsidP="00AC32B9">
      <w:pPr>
        <w:jc w:val="both"/>
        <w:rPr>
          <w:rFonts w:ascii="Arial" w:hAnsi="Arial" w:cs="Arial"/>
          <w:sz w:val="24"/>
          <w:szCs w:val="24"/>
        </w:rPr>
      </w:pPr>
      <w:r>
        <w:rPr>
          <w:rFonts w:ascii="Arial" w:hAnsi="Arial" w:cs="Arial"/>
          <w:sz w:val="24"/>
          <w:szCs w:val="24"/>
        </w:rPr>
        <w:t xml:space="preserve">Yours </w:t>
      </w:r>
      <w:r w:rsidR="00257069">
        <w:rPr>
          <w:rFonts w:ascii="Arial" w:hAnsi="Arial" w:cs="Arial"/>
          <w:sz w:val="24"/>
          <w:szCs w:val="24"/>
        </w:rPr>
        <w:t>sincerely</w:t>
      </w:r>
      <w:r>
        <w:rPr>
          <w:rFonts w:ascii="Arial" w:hAnsi="Arial" w:cs="Arial"/>
          <w:sz w:val="24"/>
          <w:szCs w:val="24"/>
        </w:rPr>
        <w:t>,</w:t>
      </w:r>
    </w:p>
    <w:p w14:paraId="39FA72BB" w14:textId="573B4136"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Victor Olowe</w:t>
      </w:r>
    </w:p>
    <w:p w14:paraId="17419773" w14:textId="126670AC"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 xml:space="preserve">Chair </w:t>
      </w:r>
    </w:p>
    <w:p w14:paraId="7EFD32F3" w14:textId="1492A6CD"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 xml:space="preserve">Independent </w:t>
      </w:r>
      <w:r w:rsidR="00D87676">
        <w:rPr>
          <w:rFonts w:ascii="Arial" w:hAnsi="Arial" w:cs="Arial"/>
          <w:b/>
          <w:bCs/>
          <w:sz w:val="24"/>
          <w:szCs w:val="24"/>
        </w:rPr>
        <w:t>Water</w:t>
      </w:r>
      <w:r w:rsidRPr="00BA303B">
        <w:rPr>
          <w:rFonts w:ascii="Arial" w:hAnsi="Arial" w:cs="Arial"/>
          <w:b/>
          <w:bCs/>
          <w:sz w:val="24"/>
          <w:szCs w:val="24"/>
        </w:rPr>
        <w:t xml:space="preserve"> Adoption Panel</w:t>
      </w:r>
    </w:p>
    <w:sectPr w:rsidR="00BA303B" w:rsidRPr="00BA303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D23C" w14:textId="77777777" w:rsidR="000203DC" w:rsidRDefault="000203DC" w:rsidP="007D4F40">
      <w:pPr>
        <w:spacing w:after="0" w:line="240" w:lineRule="auto"/>
      </w:pPr>
      <w:r>
        <w:separator/>
      </w:r>
    </w:p>
  </w:endnote>
  <w:endnote w:type="continuationSeparator" w:id="0">
    <w:p w14:paraId="77A9ED15" w14:textId="77777777" w:rsidR="000203DC" w:rsidRDefault="000203DC" w:rsidP="007D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506648"/>
      <w:docPartObj>
        <w:docPartGallery w:val="Page Numbers (Bottom of Page)"/>
        <w:docPartUnique/>
      </w:docPartObj>
    </w:sdtPr>
    <w:sdtEndPr>
      <w:rPr>
        <w:noProof/>
      </w:rPr>
    </w:sdtEndPr>
    <w:sdtContent>
      <w:p w14:paraId="6ADBAF31" w14:textId="1D33627E" w:rsidR="00E84E8B" w:rsidRDefault="00E84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354CA" w14:textId="77777777" w:rsidR="007D4F40" w:rsidRDefault="007D4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DC78" w14:textId="77777777" w:rsidR="000203DC" w:rsidRDefault="000203DC" w:rsidP="007D4F40">
      <w:pPr>
        <w:spacing w:after="0" w:line="240" w:lineRule="auto"/>
      </w:pPr>
      <w:r>
        <w:separator/>
      </w:r>
    </w:p>
  </w:footnote>
  <w:footnote w:type="continuationSeparator" w:id="0">
    <w:p w14:paraId="384EC0A5" w14:textId="77777777" w:rsidR="000203DC" w:rsidRDefault="000203DC" w:rsidP="007D4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5D7482C" w14:paraId="3AFE7640" w14:textId="77777777" w:rsidTr="00663D6F">
      <w:tc>
        <w:tcPr>
          <w:tcW w:w="3005" w:type="dxa"/>
        </w:tcPr>
        <w:p w14:paraId="4C3F0369" w14:textId="6AD2A538" w:rsidR="45D7482C" w:rsidRDefault="45D7482C" w:rsidP="00663D6F">
          <w:pPr>
            <w:pStyle w:val="Header"/>
            <w:ind w:left="-115"/>
          </w:pPr>
        </w:p>
      </w:tc>
      <w:tc>
        <w:tcPr>
          <w:tcW w:w="3005" w:type="dxa"/>
        </w:tcPr>
        <w:p w14:paraId="7EF271A4" w14:textId="64294AB9" w:rsidR="45D7482C" w:rsidRDefault="45D7482C" w:rsidP="00663D6F">
          <w:pPr>
            <w:pStyle w:val="Header"/>
            <w:jc w:val="center"/>
          </w:pPr>
        </w:p>
      </w:tc>
      <w:tc>
        <w:tcPr>
          <w:tcW w:w="3005" w:type="dxa"/>
        </w:tcPr>
        <w:p w14:paraId="2F85CF5A" w14:textId="059EEC9A" w:rsidR="45D7482C" w:rsidRDefault="45D7482C" w:rsidP="00663D6F">
          <w:pPr>
            <w:pStyle w:val="Header"/>
            <w:ind w:right="-115"/>
            <w:jc w:val="right"/>
          </w:pPr>
        </w:p>
      </w:tc>
    </w:tr>
  </w:tbl>
  <w:p w14:paraId="13B4E225" w14:textId="3A3E795C" w:rsidR="45D7482C" w:rsidRDefault="45D7482C" w:rsidP="45D7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555"/>
    <w:multiLevelType w:val="hybridMultilevel"/>
    <w:tmpl w:val="00D2C84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95A79F2"/>
    <w:multiLevelType w:val="hybridMultilevel"/>
    <w:tmpl w:val="F732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56601"/>
    <w:multiLevelType w:val="hybridMultilevel"/>
    <w:tmpl w:val="FD7E7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85F30"/>
    <w:multiLevelType w:val="hybridMultilevel"/>
    <w:tmpl w:val="21ECB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0EEB"/>
    <w:multiLevelType w:val="hybridMultilevel"/>
    <w:tmpl w:val="11E0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D57F3"/>
    <w:multiLevelType w:val="hybridMultilevel"/>
    <w:tmpl w:val="AEE4D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F7B27"/>
    <w:multiLevelType w:val="hybridMultilevel"/>
    <w:tmpl w:val="D24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12A02"/>
    <w:multiLevelType w:val="hybridMultilevel"/>
    <w:tmpl w:val="A606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31151"/>
    <w:multiLevelType w:val="hybridMultilevel"/>
    <w:tmpl w:val="F9D2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300D0"/>
    <w:multiLevelType w:val="hybridMultilevel"/>
    <w:tmpl w:val="C0E8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D637E"/>
    <w:multiLevelType w:val="hybridMultilevel"/>
    <w:tmpl w:val="4F82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57143"/>
    <w:multiLevelType w:val="hybridMultilevel"/>
    <w:tmpl w:val="C3A8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C916AC"/>
    <w:multiLevelType w:val="hybridMultilevel"/>
    <w:tmpl w:val="2144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C03D87"/>
    <w:multiLevelType w:val="hybridMultilevel"/>
    <w:tmpl w:val="F9220E8E"/>
    <w:lvl w:ilvl="0" w:tplc="25B618FC">
      <w:start w:val="1"/>
      <w:numFmt w:val="decimal"/>
      <w:lvlText w:val="%1."/>
      <w:lvlJc w:val="left"/>
      <w:pPr>
        <w:ind w:left="720" w:hanging="360"/>
      </w:pPr>
      <w:rPr>
        <w:rFonts w:eastAsiaTheme="minorHAnsi"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6F0BA8"/>
    <w:multiLevelType w:val="hybridMultilevel"/>
    <w:tmpl w:val="C3C62CD2"/>
    <w:lvl w:ilvl="0" w:tplc="DDFA6C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A17A8"/>
    <w:multiLevelType w:val="hybridMultilevel"/>
    <w:tmpl w:val="03D2E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4571623">
    <w:abstractNumId w:val="1"/>
  </w:num>
  <w:num w:numId="2" w16cid:durableId="498739750">
    <w:abstractNumId w:val="14"/>
  </w:num>
  <w:num w:numId="3" w16cid:durableId="685710545">
    <w:abstractNumId w:val="6"/>
  </w:num>
  <w:num w:numId="4" w16cid:durableId="1308439736">
    <w:abstractNumId w:val="0"/>
  </w:num>
  <w:num w:numId="5" w16cid:durableId="779297151">
    <w:abstractNumId w:val="11"/>
  </w:num>
  <w:num w:numId="6" w16cid:durableId="820317084">
    <w:abstractNumId w:val="4"/>
  </w:num>
  <w:num w:numId="7" w16cid:durableId="997538927">
    <w:abstractNumId w:val="7"/>
  </w:num>
  <w:num w:numId="8" w16cid:durableId="1469082044">
    <w:abstractNumId w:val="5"/>
  </w:num>
  <w:num w:numId="9" w16cid:durableId="1425298445">
    <w:abstractNumId w:val="8"/>
  </w:num>
  <w:num w:numId="10" w16cid:durableId="880944872">
    <w:abstractNumId w:val="10"/>
  </w:num>
  <w:num w:numId="11" w16cid:durableId="1428115665">
    <w:abstractNumId w:val="13"/>
  </w:num>
  <w:num w:numId="12" w16cid:durableId="1082751538">
    <w:abstractNumId w:val="12"/>
  </w:num>
  <w:num w:numId="13" w16cid:durableId="731807065">
    <w:abstractNumId w:val="9"/>
  </w:num>
  <w:num w:numId="14" w16cid:durableId="1698653943">
    <w:abstractNumId w:val="15"/>
  </w:num>
  <w:num w:numId="15" w16cid:durableId="1849051718">
    <w:abstractNumId w:val="2"/>
  </w:num>
  <w:num w:numId="16" w16cid:durableId="266545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68"/>
    <w:rsid w:val="00000928"/>
    <w:rsid w:val="000052F8"/>
    <w:rsid w:val="000139D9"/>
    <w:rsid w:val="00016C55"/>
    <w:rsid w:val="0002000C"/>
    <w:rsid w:val="000203DC"/>
    <w:rsid w:val="000253A2"/>
    <w:rsid w:val="000325DE"/>
    <w:rsid w:val="000613D5"/>
    <w:rsid w:val="0006471F"/>
    <w:rsid w:val="00071EAC"/>
    <w:rsid w:val="00076D8E"/>
    <w:rsid w:val="000803FE"/>
    <w:rsid w:val="000931A0"/>
    <w:rsid w:val="00097AE7"/>
    <w:rsid w:val="000A2A54"/>
    <w:rsid w:val="000A3221"/>
    <w:rsid w:val="000B0D0B"/>
    <w:rsid w:val="000B344C"/>
    <w:rsid w:val="000B3A13"/>
    <w:rsid w:val="000B3A20"/>
    <w:rsid w:val="000B4709"/>
    <w:rsid w:val="000B4BA1"/>
    <w:rsid w:val="000B56B7"/>
    <w:rsid w:val="000B5D34"/>
    <w:rsid w:val="000B68A1"/>
    <w:rsid w:val="000B7697"/>
    <w:rsid w:val="000C3F77"/>
    <w:rsid w:val="000C4DC5"/>
    <w:rsid w:val="000D17DE"/>
    <w:rsid w:val="000E13E2"/>
    <w:rsid w:val="000F5313"/>
    <w:rsid w:val="00114C2C"/>
    <w:rsid w:val="00115F09"/>
    <w:rsid w:val="00120588"/>
    <w:rsid w:val="00121A9C"/>
    <w:rsid w:val="00125044"/>
    <w:rsid w:val="001262C6"/>
    <w:rsid w:val="00130A7B"/>
    <w:rsid w:val="001344CD"/>
    <w:rsid w:val="00137002"/>
    <w:rsid w:val="001433A2"/>
    <w:rsid w:val="00147BCF"/>
    <w:rsid w:val="001559E0"/>
    <w:rsid w:val="00162284"/>
    <w:rsid w:val="0016472D"/>
    <w:rsid w:val="001703FC"/>
    <w:rsid w:val="00172B32"/>
    <w:rsid w:val="00175CC3"/>
    <w:rsid w:val="00175CC8"/>
    <w:rsid w:val="0017797D"/>
    <w:rsid w:val="00183A3D"/>
    <w:rsid w:val="00184040"/>
    <w:rsid w:val="001861B5"/>
    <w:rsid w:val="001929FF"/>
    <w:rsid w:val="00193173"/>
    <w:rsid w:val="00194DF2"/>
    <w:rsid w:val="001967E1"/>
    <w:rsid w:val="001A2BBD"/>
    <w:rsid w:val="001B05B3"/>
    <w:rsid w:val="001B7D69"/>
    <w:rsid w:val="001C1C17"/>
    <w:rsid w:val="001C3865"/>
    <w:rsid w:val="001C3899"/>
    <w:rsid w:val="001F2C2A"/>
    <w:rsid w:val="001F423B"/>
    <w:rsid w:val="001F6CBD"/>
    <w:rsid w:val="001F6FA3"/>
    <w:rsid w:val="002004C1"/>
    <w:rsid w:val="00201259"/>
    <w:rsid w:val="002014A1"/>
    <w:rsid w:val="002014AB"/>
    <w:rsid w:val="00205A20"/>
    <w:rsid w:val="00213552"/>
    <w:rsid w:val="002149B4"/>
    <w:rsid w:val="0022793B"/>
    <w:rsid w:val="00227CEC"/>
    <w:rsid w:val="0024199F"/>
    <w:rsid w:val="002434F9"/>
    <w:rsid w:val="00253F12"/>
    <w:rsid w:val="00257069"/>
    <w:rsid w:val="00257A32"/>
    <w:rsid w:val="0026094C"/>
    <w:rsid w:val="002626C2"/>
    <w:rsid w:val="00262A98"/>
    <w:rsid w:val="00270B83"/>
    <w:rsid w:val="002771A1"/>
    <w:rsid w:val="00277534"/>
    <w:rsid w:val="00285331"/>
    <w:rsid w:val="002868FE"/>
    <w:rsid w:val="002A6E54"/>
    <w:rsid w:val="002A7441"/>
    <w:rsid w:val="002B5168"/>
    <w:rsid w:val="002C227E"/>
    <w:rsid w:val="002C45A3"/>
    <w:rsid w:val="002D1473"/>
    <w:rsid w:val="002D461B"/>
    <w:rsid w:val="002D5C5F"/>
    <w:rsid w:val="002E0D94"/>
    <w:rsid w:val="002E2480"/>
    <w:rsid w:val="002E2CD6"/>
    <w:rsid w:val="002F07F2"/>
    <w:rsid w:val="002F5139"/>
    <w:rsid w:val="00301D9D"/>
    <w:rsid w:val="00304B56"/>
    <w:rsid w:val="00305DC7"/>
    <w:rsid w:val="00306CFE"/>
    <w:rsid w:val="003136E8"/>
    <w:rsid w:val="00315738"/>
    <w:rsid w:val="00315A75"/>
    <w:rsid w:val="00316ECF"/>
    <w:rsid w:val="00321971"/>
    <w:rsid w:val="00322267"/>
    <w:rsid w:val="003363CA"/>
    <w:rsid w:val="00340FAA"/>
    <w:rsid w:val="0034179A"/>
    <w:rsid w:val="00341B56"/>
    <w:rsid w:val="0034327B"/>
    <w:rsid w:val="003435AF"/>
    <w:rsid w:val="00344D38"/>
    <w:rsid w:val="00345E38"/>
    <w:rsid w:val="003468B6"/>
    <w:rsid w:val="00351900"/>
    <w:rsid w:val="00353937"/>
    <w:rsid w:val="00355FDB"/>
    <w:rsid w:val="00360CFB"/>
    <w:rsid w:val="00375191"/>
    <w:rsid w:val="003776A1"/>
    <w:rsid w:val="00383883"/>
    <w:rsid w:val="00383A4A"/>
    <w:rsid w:val="00387DC7"/>
    <w:rsid w:val="00393FCD"/>
    <w:rsid w:val="003A635B"/>
    <w:rsid w:val="003B51F0"/>
    <w:rsid w:val="003C4E68"/>
    <w:rsid w:val="003D292B"/>
    <w:rsid w:val="003D4C0E"/>
    <w:rsid w:val="003E7B0C"/>
    <w:rsid w:val="003F5EEF"/>
    <w:rsid w:val="003F6731"/>
    <w:rsid w:val="0040632E"/>
    <w:rsid w:val="00407165"/>
    <w:rsid w:val="00422608"/>
    <w:rsid w:val="004277CF"/>
    <w:rsid w:val="00435F8F"/>
    <w:rsid w:val="00437C24"/>
    <w:rsid w:val="00451C55"/>
    <w:rsid w:val="004573EB"/>
    <w:rsid w:val="0046284C"/>
    <w:rsid w:val="00466B6B"/>
    <w:rsid w:val="004705F4"/>
    <w:rsid w:val="00471273"/>
    <w:rsid w:val="004813C6"/>
    <w:rsid w:val="0048319F"/>
    <w:rsid w:val="00487C09"/>
    <w:rsid w:val="004A136F"/>
    <w:rsid w:val="004A26BC"/>
    <w:rsid w:val="004A28FC"/>
    <w:rsid w:val="004B37C6"/>
    <w:rsid w:val="004B77B3"/>
    <w:rsid w:val="004D1F68"/>
    <w:rsid w:val="004D3F49"/>
    <w:rsid w:val="004D46F5"/>
    <w:rsid w:val="004D6F7B"/>
    <w:rsid w:val="004E07F6"/>
    <w:rsid w:val="004F4BBE"/>
    <w:rsid w:val="004F6594"/>
    <w:rsid w:val="004F74A2"/>
    <w:rsid w:val="0052262F"/>
    <w:rsid w:val="00533D5E"/>
    <w:rsid w:val="005476CE"/>
    <w:rsid w:val="00547BC0"/>
    <w:rsid w:val="00553AA4"/>
    <w:rsid w:val="005606C0"/>
    <w:rsid w:val="00564A2C"/>
    <w:rsid w:val="00567042"/>
    <w:rsid w:val="00567247"/>
    <w:rsid w:val="00574225"/>
    <w:rsid w:val="00577FDF"/>
    <w:rsid w:val="0058063E"/>
    <w:rsid w:val="0058245D"/>
    <w:rsid w:val="00592F4C"/>
    <w:rsid w:val="005A0719"/>
    <w:rsid w:val="005A28D3"/>
    <w:rsid w:val="005A4651"/>
    <w:rsid w:val="005A50CA"/>
    <w:rsid w:val="005B1236"/>
    <w:rsid w:val="005B2144"/>
    <w:rsid w:val="005B5391"/>
    <w:rsid w:val="005B6EA3"/>
    <w:rsid w:val="005C3215"/>
    <w:rsid w:val="005C4070"/>
    <w:rsid w:val="005D5342"/>
    <w:rsid w:val="005D627B"/>
    <w:rsid w:val="005E0E16"/>
    <w:rsid w:val="005E2E4C"/>
    <w:rsid w:val="005E43D3"/>
    <w:rsid w:val="005E67A6"/>
    <w:rsid w:val="005E729B"/>
    <w:rsid w:val="005F656A"/>
    <w:rsid w:val="0061074A"/>
    <w:rsid w:val="006117D2"/>
    <w:rsid w:val="00614DAB"/>
    <w:rsid w:val="00621BD4"/>
    <w:rsid w:val="00626D8D"/>
    <w:rsid w:val="006270FA"/>
    <w:rsid w:val="00636EB0"/>
    <w:rsid w:val="00641646"/>
    <w:rsid w:val="0064500E"/>
    <w:rsid w:val="00646256"/>
    <w:rsid w:val="00647D40"/>
    <w:rsid w:val="00660889"/>
    <w:rsid w:val="00663477"/>
    <w:rsid w:val="00663D6F"/>
    <w:rsid w:val="006666D8"/>
    <w:rsid w:val="00675C1C"/>
    <w:rsid w:val="00677EAC"/>
    <w:rsid w:val="00683B1D"/>
    <w:rsid w:val="00694E83"/>
    <w:rsid w:val="006E00EA"/>
    <w:rsid w:val="006E7555"/>
    <w:rsid w:val="006F01F1"/>
    <w:rsid w:val="00705C8C"/>
    <w:rsid w:val="007062F0"/>
    <w:rsid w:val="00706EFC"/>
    <w:rsid w:val="00707C18"/>
    <w:rsid w:val="0071279D"/>
    <w:rsid w:val="007131D7"/>
    <w:rsid w:val="00715A94"/>
    <w:rsid w:val="007178DA"/>
    <w:rsid w:val="00721D6B"/>
    <w:rsid w:val="00724253"/>
    <w:rsid w:val="0072427B"/>
    <w:rsid w:val="00730087"/>
    <w:rsid w:val="00733752"/>
    <w:rsid w:val="0073599A"/>
    <w:rsid w:val="00746D7C"/>
    <w:rsid w:val="00753B80"/>
    <w:rsid w:val="00755D3F"/>
    <w:rsid w:val="00757355"/>
    <w:rsid w:val="00770784"/>
    <w:rsid w:val="00781BCB"/>
    <w:rsid w:val="007826CF"/>
    <w:rsid w:val="00795646"/>
    <w:rsid w:val="00797FD9"/>
    <w:rsid w:val="007A55A0"/>
    <w:rsid w:val="007B02B8"/>
    <w:rsid w:val="007B1C5C"/>
    <w:rsid w:val="007B216C"/>
    <w:rsid w:val="007B4785"/>
    <w:rsid w:val="007C7687"/>
    <w:rsid w:val="007D308C"/>
    <w:rsid w:val="007D3C53"/>
    <w:rsid w:val="007D4A77"/>
    <w:rsid w:val="007D4F40"/>
    <w:rsid w:val="007D78E7"/>
    <w:rsid w:val="007E11C0"/>
    <w:rsid w:val="007E3335"/>
    <w:rsid w:val="00805918"/>
    <w:rsid w:val="00812C99"/>
    <w:rsid w:val="00814683"/>
    <w:rsid w:val="00814E3C"/>
    <w:rsid w:val="00822003"/>
    <w:rsid w:val="00822DA1"/>
    <w:rsid w:val="00832288"/>
    <w:rsid w:val="008332A3"/>
    <w:rsid w:val="00842961"/>
    <w:rsid w:val="008470F0"/>
    <w:rsid w:val="0086335E"/>
    <w:rsid w:val="0086483E"/>
    <w:rsid w:val="008700BF"/>
    <w:rsid w:val="00872323"/>
    <w:rsid w:val="00875E51"/>
    <w:rsid w:val="008849E9"/>
    <w:rsid w:val="008918C7"/>
    <w:rsid w:val="00893559"/>
    <w:rsid w:val="00894CFF"/>
    <w:rsid w:val="00896BDA"/>
    <w:rsid w:val="008A5C96"/>
    <w:rsid w:val="008B478D"/>
    <w:rsid w:val="008C0625"/>
    <w:rsid w:val="008C63C8"/>
    <w:rsid w:val="008D3FCA"/>
    <w:rsid w:val="008D747B"/>
    <w:rsid w:val="008F0E97"/>
    <w:rsid w:val="00905368"/>
    <w:rsid w:val="00913113"/>
    <w:rsid w:val="009157A1"/>
    <w:rsid w:val="009179F3"/>
    <w:rsid w:val="0092070B"/>
    <w:rsid w:val="0092110F"/>
    <w:rsid w:val="009220C6"/>
    <w:rsid w:val="00926D7B"/>
    <w:rsid w:val="00936647"/>
    <w:rsid w:val="0094510B"/>
    <w:rsid w:val="00945A18"/>
    <w:rsid w:val="00951F30"/>
    <w:rsid w:val="0096435E"/>
    <w:rsid w:val="00965297"/>
    <w:rsid w:val="00973D4E"/>
    <w:rsid w:val="00993165"/>
    <w:rsid w:val="00997953"/>
    <w:rsid w:val="009A5D69"/>
    <w:rsid w:val="009A7D25"/>
    <w:rsid w:val="009B1C6E"/>
    <w:rsid w:val="009B50EC"/>
    <w:rsid w:val="009B6809"/>
    <w:rsid w:val="009D5259"/>
    <w:rsid w:val="009D7B8D"/>
    <w:rsid w:val="009E25CB"/>
    <w:rsid w:val="009F700D"/>
    <w:rsid w:val="009F7CB1"/>
    <w:rsid w:val="00A04A8E"/>
    <w:rsid w:val="00A0544A"/>
    <w:rsid w:val="00A0733D"/>
    <w:rsid w:val="00A15BF6"/>
    <w:rsid w:val="00A26742"/>
    <w:rsid w:val="00A27C60"/>
    <w:rsid w:val="00A319BA"/>
    <w:rsid w:val="00A31BDE"/>
    <w:rsid w:val="00A44C20"/>
    <w:rsid w:val="00A51206"/>
    <w:rsid w:val="00A51802"/>
    <w:rsid w:val="00A53B25"/>
    <w:rsid w:val="00A562C9"/>
    <w:rsid w:val="00A601C1"/>
    <w:rsid w:val="00A75A7C"/>
    <w:rsid w:val="00A83EDB"/>
    <w:rsid w:val="00A8447E"/>
    <w:rsid w:val="00AA5557"/>
    <w:rsid w:val="00AB5F88"/>
    <w:rsid w:val="00AC32B9"/>
    <w:rsid w:val="00AD640A"/>
    <w:rsid w:val="00AE1BEE"/>
    <w:rsid w:val="00AE514B"/>
    <w:rsid w:val="00AE57A3"/>
    <w:rsid w:val="00AE60DD"/>
    <w:rsid w:val="00AE7191"/>
    <w:rsid w:val="00AF246B"/>
    <w:rsid w:val="00AF26BC"/>
    <w:rsid w:val="00B15566"/>
    <w:rsid w:val="00B208D9"/>
    <w:rsid w:val="00B31193"/>
    <w:rsid w:val="00B33224"/>
    <w:rsid w:val="00B340EF"/>
    <w:rsid w:val="00B35812"/>
    <w:rsid w:val="00B40590"/>
    <w:rsid w:val="00B6067D"/>
    <w:rsid w:val="00B64E93"/>
    <w:rsid w:val="00B6584D"/>
    <w:rsid w:val="00B6640A"/>
    <w:rsid w:val="00B67311"/>
    <w:rsid w:val="00B67CB9"/>
    <w:rsid w:val="00B7215A"/>
    <w:rsid w:val="00B83119"/>
    <w:rsid w:val="00B86535"/>
    <w:rsid w:val="00B95EE2"/>
    <w:rsid w:val="00B97F51"/>
    <w:rsid w:val="00BA303B"/>
    <w:rsid w:val="00BB3686"/>
    <w:rsid w:val="00BB7F08"/>
    <w:rsid w:val="00BC1053"/>
    <w:rsid w:val="00BC6B51"/>
    <w:rsid w:val="00BC772A"/>
    <w:rsid w:val="00BC7E92"/>
    <w:rsid w:val="00BD00B6"/>
    <w:rsid w:val="00BE29A6"/>
    <w:rsid w:val="00BE53D4"/>
    <w:rsid w:val="00BF4CD9"/>
    <w:rsid w:val="00C010F6"/>
    <w:rsid w:val="00C14AA8"/>
    <w:rsid w:val="00C27E66"/>
    <w:rsid w:val="00C4012B"/>
    <w:rsid w:val="00C4111C"/>
    <w:rsid w:val="00C468F1"/>
    <w:rsid w:val="00C50224"/>
    <w:rsid w:val="00C50DA8"/>
    <w:rsid w:val="00C52D1E"/>
    <w:rsid w:val="00C55512"/>
    <w:rsid w:val="00C709E2"/>
    <w:rsid w:val="00C716AE"/>
    <w:rsid w:val="00C73156"/>
    <w:rsid w:val="00C7450C"/>
    <w:rsid w:val="00C7636E"/>
    <w:rsid w:val="00C84512"/>
    <w:rsid w:val="00CB1C7D"/>
    <w:rsid w:val="00CB5DAF"/>
    <w:rsid w:val="00CC7FC0"/>
    <w:rsid w:val="00CD0D9B"/>
    <w:rsid w:val="00CE16C9"/>
    <w:rsid w:val="00CE4F69"/>
    <w:rsid w:val="00CF0772"/>
    <w:rsid w:val="00CF2068"/>
    <w:rsid w:val="00D014FB"/>
    <w:rsid w:val="00D1102C"/>
    <w:rsid w:val="00D12DDC"/>
    <w:rsid w:val="00D1483D"/>
    <w:rsid w:val="00D14CC8"/>
    <w:rsid w:val="00D16B7A"/>
    <w:rsid w:val="00D17534"/>
    <w:rsid w:val="00D22EDC"/>
    <w:rsid w:val="00D2544E"/>
    <w:rsid w:val="00D265DC"/>
    <w:rsid w:val="00D32A3D"/>
    <w:rsid w:val="00D37571"/>
    <w:rsid w:val="00D603D2"/>
    <w:rsid w:val="00D676E4"/>
    <w:rsid w:val="00D74228"/>
    <w:rsid w:val="00D8365E"/>
    <w:rsid w:val="00D854EC"/>
    <w:rsid w:val="00D87676"/>
    <w:rsid w:val="00D90B7F"/>
    <w:rsid w:val="00D97AA1"/>
    <w:rsid w:val="00DB0E40"/>
    <w:rsid w:val="00DB1DA0"/>
    <w:rsid w:val="00DB46F7"/>
    <w:rsid w:val="00DB5ADA"/>
    <w:rsid w:val="00DB5E97"/>
    <w:rsid w:val="00DD204C"/>
    <w:rsid w:val="00DD4238"/>
    <w:rsid w:val="00DE677D"/>
    <w:rsid w:val="00DF0E48"/>
    <w:rsid w:val="00DF2CDB"/>
    <w:rsid w:val="00E00B42"/>
    <w:rsid w:val="00E216D1"/>
    <w:rsid w:val="00E2257A"/>
    <w:rsid w:val="00E24B85"/>
    <w:rsid w:val="00E25407"/>
    <w:rsid w:val="00E31A45"/>
    <w:rsid w:val="00E33EB5"/>
    <w:rsid w:val="00E34E9D"/>
    <w:rsid w:val="00E46D63"/>
    <w:rsid w:val="00E55ADF"/>
    <w:rsid w:val="00E618EF"/>
    <w:rsid w:val="00E70AC9"/>
    <w:rsid w:val="00E83A61"/>
    <w:rsid w:val="00E84E8B"/>
    <w:rsid w:val="00E94A2D"/>
    <w:rsid w:val="00E97E5A"/>
    <w:rsid w:val="00EA16DA"/>
    <w:rsid w:val="00EA2238"/>
    <w:rsid w:val="00EA47B9"/>
    <w:rsid w:val="00EB07F7"/>
    <w:rsid w:val="00EB32DA"/>
    <w:rsid w:val="00EB4A47"/>
    <w:rsid w:val="00EC1A02"/>
    <w:rsid w:val="00ED06D4"/>
    <w:rsid w:val="00ED289D"/>
    <w:rsid w:val="00ED514E"/>
    <w:rsid w:val="00ED5E60"/>
    <w:rsid w:val="00ED6DAD"/>
    <w:rsid w:val="00EE33C9"/>
    <w:rsid w:val="00EF3D2E"/>
    <w:rsid w:val="00EF5EA9"/>
    <w:rsid w:val="00F00DDB"/>
    <w:rsid w:val="00F04254"/>
    <w:rsid w:val="00F11BBA"/>
    <w:rsid w:val="00F177ED"/>
    <w:rsid w:val="00F20117"/>
    <w:rsid w:val="00F35A06"/>
    <w:rsid w:val="00F40E4F"/>
    <w:rsid w:val="00F418E0"/>
    <w:rsid w:val="00F44047"/>
    <w:rsid w:val="00F5204B"/>
    <w:rsid w:val="00F5214F"/>
    <w:rsid w:val="00F555F8"/>
    <w:rsid w:val="00F60BA5"/>
    <w:rsid w:val="00F62543"/>
    <w:rsid w:val="00F71B21"/>
    <w:rsid w:val="00F75DD9"/>
    <w:rsid w:val="00F8323D"/>
    <w:rsid w:val="00F840C1"/>
    <w:rsid w:val="00F85308"/>
    <w:rsid w:val="00FA1AF6"/>
    <w:rsid w:val="00FA3174"/>
    <w:rsid w:val="00FA5312"/>
    <w:rsid w:val="00FB295E"/>
    <w:rsid w:val="00FB460F"/>
    <w:rsid w:val="00FB52E0"/>
    <w:rsid w:val="00FB56A1"/>
    <w:rsid w:val="00FC0FBA"/>
    <w:rsid w:val="00FC20E2"/>
    <w:rsid w:val="00FC2E54"/>
    <w:rsid w:val="00FC3BAC"/>
    <w:rsid w:val="00FC5C98"/>
    <w:rsid w:val="00FE443C"/>
    <w:rsid w:val="00FE75EC"/>
    <w:rsid w:val="00FF21D2"/>
    <w:rsid w:val="00FF34D7"/>
    <w:rsid w:val="00FF5895"/>
    <w:rsid w:val="00FF673A"/>
    <w:rsid w:val="0C18B594"/>
    <w:rsid w:val="45D7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E906"/>
  <w15:chartTrackingRefBased/>
  <w15:docId w15:val="{8CF56821-5B07-4C42-AA9C-E0218609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14F"/>
    <w:pPr>
      <w:ind w:left="720"/>
      <w:contextualSpacing/>
    </w:pPr>
  </w:style>
  <w:style w:type="paragraph" w:customStyle="1" w:styleId="TableContents">
    <w:name w:val="Table Contents"/>
    <w:basedOn w:val="Normal"/>
    <w:rsid w:val="00AA5557"/>
    <w:pPr>
      <w:suppressLineNumbers/>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styleId="CommentReference">
    <w:name w:val="annotation reference"/>
    <w:basedOn w:val="DefaultParagraphFont"/>
    <w:uiPriority w:val="99"/>
    <w:semiHidden/>
    <w:unhideWhenUsed/>
    <w:rsid w:val="007D78E7"/>
    <w:rPr>
      <w:sz w:val="16"/>
      <w:szCs w:val="16"/>
    </w:rPr>
  </w:style>
  <w:style w:type="paragraph" w:styleId="CommentText">
    <w:name w:val="annotation text"/>
    <w:basedOn w:val="Normal"/>
    <w:link w:val="CommentTextChar"/>
    <w:uiPriority w:val="99"/>
    <w:unhideWhenUsed/>
    <w:rsid w:val="007D78E7"/>
    <w:pPr>
      <w:spacing w:line="240" w:lineRule="auto"/>
    </w:pPr>
    <w:rPr>
      <w:sz w:val="20"/>
      <w:szCs w:val="20"/>
    </w:rPr>
  </w:style>
  <w:style w:type="character" w:customStyle="1" w:styleId="CommentTextChar">
    <w:name w:val="Comment Text Char"/>
    <w:basedOn w:val="DefaultParagraphFont"/>
    <w:link w:val="CommentText"/>
    <w:uiPriority w:val="99"/>
    <w:rsid w:val="007D78E7"/>
    <w:rPr>
      <w:sz w:val="20"/>
      <w:szCs w:val="20"/>
    </w:rPr>
  </w:style>
  <w:style w:type="paragraph" w:styleId="CommentSubject">
    <w:name w:val="annotation subject"/>
    <w:basedOn w:val="CommentText"/>
    <w:next w:val="CommentText"/>
    <w:link w:val="CommentSubjectChar"/>
    <w:uiPriority w:val="99"/>
    <w:semiHidden/>
    <w:unhideWhenUsed/>
    <w:rsid w:val="007D78E7"/>
    <w:rPr>
      <w:b/>
      <w:bCs/>
    </w:rPr>
  </w:style>
  <w:style w:type="character" w:customStyle="1" w:styleId="CommentSubjectChar">
    <w:name w:val="Comment Subject Char"/>
    <w:basedOn w:val="CommentTextChar"/>
    <w:link w:val="CommentSubject"/>
    <w:uiPriority w:val="99"/>
    <w:semiHidden/>
    <w:rsid w:val="007D78E7"/>
    <w:rPr>
      <w:b/>
      <w:bCs/>
      <w:sz w:val="20"/>
      <w:szCs w:val="20"/>
    </w:rPr>
  </w:style>
  <w:style w:type="character" w:styleId="Hyperlink">
    <w:name w:val="Hyperlink"/>
    <w:basedOn w:val="DefaultParagraphFont"/>
    <w:uiPriority w:val="99"/>
    <w:unhideWhenUsed/>
    <w:rsid w:val="00BF4CD9"/>
    <w:rPr>
      <w:color w:val="0563C1" w:themeColor="hyperlink"/>
      <w:u w:val="single"/>
    </w:rPr>
  </w:style>
  <w:style w:type="character" w:styleId="UnresolvedMention">
    <w:name w:val="Unresolved Mention"/>
    <w:basedOn w:val="DefaultParagraphFont"/>
    <w:uiPriority w:val="99"/>
    <w:semiHidden/>
    <w:unhideWhenUsed/>
    <w:rsid w:val="00BF4CD9"/>
    <w:rPr>
      <w:color w:val="605E5C"/>
      <w:shd w:val="clear" w:color="auto" w:fill="E1DFDD"/>
    </w:rPr>
  </w:style>
  <w:style w:type="paragraph" w:customStyle="1" w:styleId="Textbody">
    <w:name w:val="Text body"/>
    <w:basedOn w:val="Normal"/>
    <w:rsid w:val="00AE7191"/>
    <w:pPr>
      <w:suppressAutoHyphens/>
      <w:autoSpaceDN w:val="0"/>
      <w:spacing w:after="140" w:line="276" w:lineRule="auto"/>
      <w:textAlignment w:val="baseline"/>
    </w:pPr>
    <w:rPr>
      <w:rFonts w:ascii="Times New Roman" w:eastAsia="NSimSun" w:hAnsi="Times New Roman" w:cs="Arial"/>
      <w:kern w:val="3"/>
      <w:sz w:val="24"/>
      <w:szCs w:val="24"/>
      <w:lang w:eastAsia="zh-CN" w:bidi="hi-IN"/>
    </w:rPr>
  </w:style>
  <w:style w:type="table" w:styleId="TableGrid">
    <w:name w:val="Table Grid"/>
    <w:basedOn w:val="TableNormal"/>
    <w:uiPriority w:val="39"/>
    <w:rsid w:val="009F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F40"/>
  </w:style>
  <w:style w:type="paragraph" w:styleId="Footer">
    <w:name w:val="footer"/>
    <w:basedOn w:val="Normal"/>
    <w:link w:val="FooterChar"/>
    <w:uiPriority w:val="99"/>
    <w:unhideWhenUsed/>
    <w:rsid w:val="007D4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F40"/>
  </w:style>
  <w:style w:type="paragraph" w:styleId="Revision">
    <w:name w:val="Revision"/>
    <w:hidden/>
    <w:uiPriority w:val="99"/>
    <w:semiHidden/>
    <w:rsid w:val="00D14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Raybould</dc:creator>
  <cp:keywords/>
  <dc:description/>
  <cp:lastModifiedBy>Kate Morgan</cp:lastModifiedBy>
  <cp:revision>5</cp:revision>
  <dcterms:created xsi:type="dcterms:W3CDTF">2023-02-17T14:27:00Z</dcterms:created>
  <dcterms:modified xsi:type="dcterms:W3CDTF">2023-02-17T14:29:00Z</dcterms:modified>
</cp:coreProperties>
</file>